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3641090</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48"/>
        </w:trPr>
        <w:tc>
          <w:tcPr>
            <w:tcW w:w="6020" w:type="dxa"/>
            <w:vAlign w:val="bottom"/>
          </w:tcPr>
          <w:p>
            <w:pPr>
              <w:jc w:val="center"/>
              <w:ind w:right="34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730 Third Avenue, 9th Floor</w:t>
            </w:r>
          </w:p>
        </w:tc>
        <w:tc>
          <w:tcPr>
            <w:tcW w:w="1400" w:type="dxa"/>
            <w:vAlign w:val="bottom"/>
          </w:tcPr>
          <w:p>
            <w:pPr>
              <w:spacing w:after="0"/>
              <w:rPr>
                <w:sz w:val="24"/>
                <w:szCs w:val="24"/>
                <w:color w:val="auto"/>
              </w:rPr>
            </w:pPr>
          </w:p>
        </w:tc>
      </w:t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40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020" w:type="dxa"/>
            <w:vAlign w:val="bottom"/>
          </w:tcPr>
          <w:p>
            <w:pPr>
              <w:jc w:val="right"/>
              <w:ind w:right="142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00" w:type="dxa"/>
            <w:vAlign w:val="bottom"/>
          </w:tcPr>
          <w:p>
            <w:pPr>
              <w:spacing w:after="0"/>
              <w:rPr>
                <w:sz w:val="23"/>
                <w:szCs w:val="23"/>
                <w:color w:val="auto"/>
              </w:rPr>
            </w:pPr>
          </w:p>
        </w:tc>
      </w:tr>
      <w:tr>
        <w:trPr>
          <w:trHeight w:val="190"/>
        </w:trPr>
        <w:tc>
          <w:tcPr>
            <w:tcW w:w="6020" w:type="dxa"/>
            <w:vAlign w:val="bottom"/>
          </w:tcPr>
          <w:p>
            <w:pPr>
              <w:jc w:val="center"/>
              <w:ind w:left="19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19"/>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9"/>
        </w:trPr>
        <w:tc>
          <w:tcPr>
            <w:tcW w:w="33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88" w:lineRule="exact"/>
        <w:rPr>
          <w:sz w:val="24"/>
          <w:szCs w:val="24"/>
          <w:color w:val="auto"/>
        </w:rPr>
      </w:pPr>
    </w:p>
    <w:p>
      <w:pPr>
        <w:ind w:right="18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29, 2026, there were 90,028,256 shares of the registrant’s Common Stock, par value $0.0001 per share, outstanding.</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7"/>
          <w:szCs w:val="7"/>
          <w:color w:val="auto"/>
        </w:rPr>
        <w:t>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products and product candidates as well as the potential use of our products and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as well as the ability to meet our cash payment obligations under the outstanding convertible notes from our business cash flows;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financial restrictions imposed on us under the Indenture related to our outstanding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LLC,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products and product candidates;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products, product candidates and our technology;</w:t>
      </w:r>
    </w:p>
    <w:p>
      <w:pPr>
        <w:spacing w:after="0" w:line="67" w:lineRule="exact"/>
        <w:rPr>
          <w:rFonts w:ascii="Times New Roman" w:cs="Times New Roman" w:eastAsia="Times New Roman" w:hAnsi="Times New Roman"/>
          <w:sz w:val="18"/>
          <w:szCs w:val="18"/>
          <w:color w:val="auto"/>
        </w:rPr>
      </w:pPr>
    </w:p>
    <w:p>
      <w:pPr>
        <w:ind w:left="1020" w:right="160" w:hanging="503"/>
        <w:spacing w:after="0" w:line="22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our other product candidates by physicians and patients;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tariffs, wars or terrorism or the perception that hostilities may be imminent, adverse global economic conditions, terrorism, public health crises, funding shortages at governmental and regulatory agencies on which we rely,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and nine months ended September 30,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nine months ended September 30, 2026 and 2025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040" w:type="dxa"/>
            <w:vAlign w:val="bottom"/>
          </w:tcPr>
          <w:p>
            <w:pPr>
              <w:spacing w:after="0"/>
              <w:rPr>
                <w:sz w:val="24"/>
                <w:szCs w:val="24"/>
                <w:color w:val="auto"/>
              </w:rPr>
            </w:pPr>
          </w:p>
        </w:tc>
        <w:tc>
          <w:tcPr>
            <w:tcW w:w="69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44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4"/>
                <w:szCs w:val="24"/>
                <w:color w:val="auto"/>
              </w:rPr>
            </w:pPr>
          </w:p>
        </w:tc>
        <w:tc>
          <w:tcPr>
            <w:tcW w:w="29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81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top w:val="single" w:sz="8" w:color="0000FF"/>
              <w:bottom w:val="single" w:sz="8" w:color="0000EE"/>
            </w:tcBorders>
          </w:tcPr>
          <w:p>
            <w:pPr>
              <w:spacing w:after="0"/>
              <w:rPr>
                <w:sz w:val="24"/>
                <w:szCs w:val="24"/>
                <w:color w:val="auto"/>
              </w:rPr>
            </w:pPr>
          </w:p>
        </w:tc>
        <w:tc>
          <w:tcPr>
            <w:tcW w:w="680" w:type="dxa"/>
            <w:vAlign w:val="bottom"/>
            <w:tcBorders>
              <w:top w:val="single" w:sz="8" w:color="0000FF"/>
            </w:tcBorders>
            <w:gridSpan w:val="3"/>
          </w:tcPr>
          <w:p>
            <w:pPr>
              <w:spacing w:after="0"/>
              <w:rPr>
                <w:sz w:val="24"/>
                <w:szCs w:val="24"/>
                <w:color w:val="auto"/>
              </w:rPr>
            </w:pPr>
          </w:p>
        </w:tc>
        <w:tc>
          <w:tcPr>
            <w:tcW w:w="81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135,941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134,930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32,754</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deposits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receivable, net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Pr>
          <w:p>
            <w:pPr>
              <w:spacing w:after="0"/>
              <w:rPr>
                <w:sz w:val="18"/>
                <w:szCs w:val="18"/>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528,081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692,671</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529,706</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103,064</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18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120,962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interest financing liability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344,095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343,909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 liability</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588,889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344,960</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709,851</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89,989,347</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87,405,979 shares issued and outstanding at September 30, 2026 and</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1,632,528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1,570,749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18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(1,648,049)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(1,506,580)</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(17,180)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100" w:type="dxa"/>
            <w:vAlign w:val="bottom"/>
          </w:tcPr>
          <w:p>
            <w:pPr>
              <w:spacing w:after="0"/>
              <w:rPr>
                <w:sz w:val="18"/>
                <w:szCs w:val="18"/>
                <w:color w:val="auto"/>
              </w:rPr>
            </w:pP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692,671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-3411220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-2271395</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-1713865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-1422400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-316865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60,743</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164,366</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revenue, net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220,950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(41,895)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(57,426)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(116,092)</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(210,536)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Royalty interest expense</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(11,812)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(35,777)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note interest expense</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interest expense</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(25,377)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(49,433)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(60,715)</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(141,469)</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(217,408)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(2,120)</w:t>
            </w:r>
          </w:p>
        </w:tc>
        <w:tc>
          <w:tcPr>
            <w:tcW w:w="18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(50,961)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(143,589)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(217,046)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attributable to common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used in calculating:</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attributable to common</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89,789,842</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86,620,992</w:t>
            </w: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89,017,885</w:t>
            </w: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86,531,218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-3368040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-3368040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-3368040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-2823845</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-2823845</wp:posOffset>
            </wp:positionV>
            <wp:extent cx="939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-2823845</wp:posOffset>
            </wp:positionV>
            <wp:extent cx="939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-2823845</wp:posOffset>
            </wp:positionV>
            <wp:extent cx="939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-1696720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-1696720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-1696720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-1130935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-1130935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-1130935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900" w:type="dxa"/>
            <w:vAlign w:val="bottom"/>
            <w:gridSpan w:val="4"/>
            <w:vMerge w:val="restart"/>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600" w:type="dxa"/>
            <w:vAlign w:val="bottom"/>
            <w:gridSpan w:val="2"/>
          </w:tcPr>
          <w:p>
            <w:pPr>
              <w:jc w:val="center"/>
              <w:ind w:left="1013"/>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3160" w:type="dxa"/>
            <w:vAlign w:val="bottom"/>
            <w:vMerge w:val="continue"/>
          </w:tcPr>
          <w:p>
            <w:pPr>
              <w:spacing w:after="0"/>
              <w:rPr>
                <w:sz w:val="14"/>
                <w:szCs w:val="14"/>
                <w:color w:val="auto"/>
              </w:rPr>
            </w:pPr>
          </w:p>
        </w:tc>
        <w:tc>
          <w:tcPr>
            <w:tcW w:w="1720" w:type="dxa"/>
            <w:vAlign w:val="bottom"/>
            <w:gridSpan w:val="3"/>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gridSpan w:val="2"/>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87,405,979</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$ 1,570,749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(1,506,580)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511,309</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88,543,881</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$ 1,590,855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(1,549,253)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gridSpan w:val="2"/>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14,069</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(49,363)</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89,150,619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tcBorders>
              <w:right w:val="single" w:sz="8" w:color="CFF0FC"/>
            </w:tcBorders>
            <w:gridSpan w:val="3"/>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45,863</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cashless exercise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254,953</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(49,433)</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89,989,347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$ 1,632,528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(1,648,049)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-2150745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-2134235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-2150745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-2134235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-2150745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-2134235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-2150745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-2134235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-2150745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-2134235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-1302385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-1302385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-1302385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-1302385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-1302385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-1302385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bl>
      <w:tblPr>
        <w:tblLayout w:type="fixed"/>
        <w:tblInd w:w="0" w:type="dxa"/>
        <w:tblCellMar>
          <w:top w:w="0" w:type="dxa"/>
          <w:left w:w="0" w:type="dxa"/>
          <w:bottom w:w="0" w:type="dxa"/>
          <w:right w:w="0" w:type="dxa"/>
        </w:tblCellMar>
      </w:tblPr>
      <w:tr>
        <w:trPr>
          <w:trHeight w:val="127"/>
        </w:trPr>
        <w:tc>
          <w:tcPr>
            <w:tcW w:w="3720" w:type="dxa"/>
            <w:vAlign w:val="bottom"/>
          </w:tcPr>
          <w:p>
            <w:pPr>
              <w:spacing w:after="0"/>
              <w:rPr>
                <w:sz w:val="11"/>
                <w:szCs w:val="11"/>
                <w:color w:val="auto"/>
              </w:rPr>
            </w:pPr>
          </w:p>
        </w:tc>
        <w:tc>
          <w:tcPr>
            <w:tcW w:w="2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21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380" w:type="dxa"/>
            <w:vAlign w:val="bottom"/>
            <w:gridSpan w:val="2"/>
          </w:tcPr>
          <w:p>
            <w:pPr>
              <w:jc w:val="center"/>
              <w:ind w:left="693"/>
              <w:spacing w:after="0" w:line="135" w:lineRule="exact"/>
              <w:rPr>
                <w:sz w:val="20"/>
                <w:szCs w:val="20"/>
                <w:color w:val="auto"/>
              </w:rPr>
            </w:pPr>
            <w:r>
              <w:rPr>
                <w:rFonts w:ascii="Times New Roman" w:cs="Times New Roman" w:eastAsia="Times New Roman" w:hAnsi="Times New Roman"/>
                <w:sz w:val="14"/>
                <w:szCs w:val="14"/>
                <w:b w:val="1"/>
                <w:bCs w:val="1"/>
                <w:color w:val="auto"/>
              </w:rPr>
              <w:t>$0.0001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right"/>
              <w:ind w:right="6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2"/>
        </w:trPr>
        <w:tc>
          <w:tcPr>
            <w:tcW w:w="3720" w:type="dxa"/>
            <w:vAlign w:val="bottom"/>
            <w:vMerge w:val="continue"/>
          </w:tcPr>
          <w:p>
            <w:pPr>
              <w:spacing w:after="0"/>
              <w:rPr>
                <w:sz w:val="14"/>
                <w:szCs w:val="14"/>
                <w:color w:val="auto"/>
              </w:rPr>
            </w:pPr>
          </w:p>
        </w:tc>
        <w:tc>
          <w:tcPr>
            <w:tcW w:w="1500" w:type="dxa"/>
            <w:vAlign w:val="bottom"/>
            <w:gridSpan w:val="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85,694,443</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(1,221,158)</w:t>
            </w: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205,527</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42,947</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(84,846)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86,047,032</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1,520,527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(1,306,004)</w:t>
            </w: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3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(71,847)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(71,847)</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86,059,077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(1,377,851)</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(60,715)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(60,715)</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86,905,343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1,553,462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(1,438,566)</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-2150745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-2133600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-2150745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-2133600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-2150745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-2133600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-2150745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-2133600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-2150745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-2133600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-1302385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-1302385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-1302385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-1302385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-1302385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-170815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(217,408)</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Accretion of investments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(3,163)</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(9,223)</w:t>
            </w:r>
          </w:p>
        </w:tc>
      </w:tr>
      <w:tr>
        <w:trPr>
          <w:trHeight w:val="216"/>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interest on convertible note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(17,801)</w:t>
            </w:r>
          </w:p>
        </w:tc>
      </w:tr>
      <w:tr>
        <w:trPr>
          <w:trHeight w:val="216"/>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Inventory, net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(6,239)</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(24,290)</w:t>
            </w: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(9,142)</w:t>
            </w:r>
          </w:p>
        </w:tc>
      </w:tr>
      <w:tr>
        <w:trPr>
          <w:trHeight w:val="216"/>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Collaboration (payable) receivable, net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(5,408)</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(34,967)</w:t>
            </w: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receivables, net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(13,007)</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(107,871)</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(253,492)</w:t>
            </w:r>
          </w:p>
        </w:tc>
      </w:tr>
      <w:tr>
        <w:trPr>
          <w:trHeight w:val="210"/>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(363,887)</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(132,691)</w:t>
            </w:r>
          </w:p>
        </w:tc>
      </w:tr>
      <w:tr>
        <w:trPr>
          <w:trHeight w:val="216"/>
        </w:trPr>
        <w:tc>
          <w:tcPr>
            <w:tcW w:w="7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4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208,932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(154,995)</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208,458</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convertible note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Issuance costs of convertible note</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(6,165)</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4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263,877</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(37,275)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135,032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100" w:type="dxa"/>
            <w:vAlign w:val="bottom"/>
          </w:tcPr>
          <w:p>
            <w:pPr>
              <w:spacing w:after="0"/>
              <w:rPr>
                <w:sz w:val="18"/>
                <w:szCs w:val="18"/>
                <w:color w:val="auto"/>
              </w:rPr>
            </w:pPr>
          </w:p>
        </w:tc>
      </w:tr>
      <w:tr>
        <w:trPr>
          <w:trHeight w:val="25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136,043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117,025</w:t>
            </w:r>
          </w:p>
        </w:tc>
        <w:tc>
          <w:tcPr>
            <w:tcW w:w="100" w:type="dxa"/>
            <w:vAlign w:val="bottom"/>
            <w:shd w:val="clear" w:color="auto" w:fill="CFF0FC"/>
          </w:tcPr>
          <w:p>
            <w:pPr>
              <w:spacing w:after="0"/>
              <w:rPr>
                <w:sz w:val="21"/>
                <w:szCs w:val="21"/>
                <w:color w:val="auto"/>
              </w:rPr>
            </w:pPr>
          </w:p>
        </w:tc>
      </w:tr>
      <w:tr>
        <w:trPr>
          <w:trHeight w:val="197"/>
        </w:trPr>
        <w:tc>
          <w:tcPr>
            <w:tcW w:w="75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royalty interest financing</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20"/>
                <w:szCs w:val="20"/>
                <w:color w:val="auto"/>
              </w:rPr>
            </w:pPr>
          </w:p>
        </w:tc>
      </w:tr>
      <w:tr>
        <w:trPr>
          <w:trHeight w:val="220"/>
        </w:trPr>
        <w:tc>
          <w:tcPr>
            <w:tcW w:w="9700" w:type="dxa"/>
            <w:vAlign w:val="bottom"/>
            <w:gridSpan w:val="5"/>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7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-3205480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-2647950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-1807845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-1233805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-1216660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commercial-stage biopharmaceutical company advancing innovative cancer therapies. We currently have two commercially approved products and a robust pipeline of late- and early-stage development programs. We were incorporated in Delaware in 2005. We have operations in New York, NY, and we operate in one segment. References in these notes to unaudited consolidated financial statements to “Syndax,” “the Company,” “we,” “us” or “our” refer to Syndax Pharmaceuticals, Inc. and its wholly owned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9"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September 30, 2026 and its results of operations for the three and nine months ended September 30, 2026 and 2025 and cash flows for the nine months ended September 30, 2026 and 2025. Operating results for the three and nine months ended September 30, 2026 are not necessarily indicative of the results that may be expected for the year ending December 31, 2026.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2025 contained in the Company’s Annual Report on Form 10-K, filed with the Securities and Exchange Commission, or SEC, on February 26, 2026.</w:t>
      </w:r>
    </w:p>
    <w:p>
      <w:pPr>
        <w:spacing w:after="0" w:line="192" w:lineRule="exact"/>
        <w:rPr>
          <w:sz w:val="20"/>
          <w:szCs w:val="20"/>
          <w:color w:val="auto"/>
        </w:rPr>
      </w:pPr>
    </w:p>
    <w:p>
      <w:pPr>
        <w:jc w:val="both"/>
        <w:ind w:right="380" w:firstLine="509"/>
        <w:spacing w:after="0" w:line="261"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which the Company dissolved in June 2024. In 2014, the Company established a wholly owned U.S. subsidiary, which the Company dissolved in July 2025. In 2021, the Company established a wholly owned subsidiary in the Netherlands. To date, there have been no material activities for these entities. All intercompany balances and transactions have been eliminated in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2025, and the notes thereto are included in the Company’s Annual Report on Form 10-K that was filed with the SEC on February 26, 2026.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unaudited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unaudited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consolidated financial statements as soon as they become known. Actual results could differ from those estimates and any such differences may be material to the Company’s unaudited consolidated financial statements.</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Topic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Topic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at the end of each interim period to determine the best estimate of its annual effective tax rate and then apply that rate in providing for income taxes on a current year-to-date (interim period) basis. For the nine months ended September 30, 2026 and 2025, the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9" w:name="page10"/>
    <w:bookmarkEnd w:id="9"/>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recorded no tax expense or benefit due to the expected current year loss and its historical losses. As of September 30, 2026 and December 31, 2025, the Company concluded that a full valuation allowance would be necessary for all of its net deferred tax assets. The Company had no amounts recorded for uncertain tax positions, interest or penalties in the accompanying unaudited consolidated financial statements.</w:t>
      </w:r>
    </w:p>
    <w:p>
      <w:pPr>
        <w:spacing w:after="0" w:line="17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or OBBBA, was enacted in the United States. The OBBBA includes significant changes to the Internal Revenue Code of 1986, such as the permanent extension of certain expiring provisions of the Tax Cuts and Jobs Act of 2017, modifications to certain aspects of the international tax framework and the restoration of favorable tax treatment for certain business expense provisions. The OBBBA introduced several U.S. tax law changes, including the ability to immediately expense domestic research and experimental, or R&amp;E, expenditures starting in 2025, and an election to accelerate any unamortized domestic R&amp;E expenditures over a one or two year period beginning with the 2025 tax year.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impacts of the OBBBA did not affect the Company’s U.S. deferred tax assets or liabilities, as the Company continues to maintain a full valuation allowance against those balances</w:t>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loss, net of tax. The Company’s other comprehensive loss, net of tax, consists of unrealized gains (losses) on the Company’s investments.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Collaboration revenue, net</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Significant Collaborative Research and License Agreements — Incyte Collaboration for further details on the Incyte License and Collaboration Agreement.</w:t>
      </w:r>
    </w:p>
    <w:p>
      <w:pPr>
        <w:spacing w:after="0" w:line="18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therefore, the Company will recognize its share of any profits or losses in the amount of net product sales less cost of goods sold and shared commercial costs, royalties and other expenses, in the period in which the underlying sales and costs are recognized. The Company’s share of net profits in connection with commercialization of products will be presented as “Collaboration revenue, net” and its share of net losses will be presented as “Collaboration loss, net” within operating expenses. The year to date “Collaboration revenue, net” or “Collaboration loss, net” will be presented as the net cumulative amount for all periods reported on in the financial statements. The Company will continue to recognize the costs associated with ongoing development services in the R&amp;D operating expense line, including any cost-sharing components with Incyte.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 \</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unaudited consolidated financial statements or disclosures.</w:t>
      </w:r>
    </w:p>
    <w:p>
      <w:pPr>
        <w:spacing w:after="0" w:line="6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or ASU 2024-03</w:t>
      </w:r>
      <w:r>
        <w:rPr>
          <w:rFonts w:ascii="Times New Roman" w:cs="Times New Roman" w:eastAsia="Times New Roman" w:hAnsi="Times New Roman"/>
          <w:sz w:val="18"/>
          <w:szCs w:val="18"/>
          <w:color w:val="auto"/>
        </w:rPr>
        <w:t>. Among other items, the requirements include expanded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employee compensation and selling expenses. ASU 2024-03 will be effective for the Company for the year ending December 31, 2027. The Company is still evaluating the impact of this new guidance on its unaudited consolidated financial statements but expects the adoption to result in disclosure changes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Significant Collaborative Research and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Incyte Collaboration</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Niktimvo™ (axatilimab-csfr). The Company and Incyte share equally the profits and losses from co-commercialization efforts in the United States.</w:t>
      </w:r>
    </w:p>
    <w:p>
      <w:pPr>
        <w:spacing w:after="0" w:line="11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7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August 2024, the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the third quarter of 2024. Upon the achievement of $150.0 million in net sales of Niktimvo, the Company recognized a $5.0 million milestone receivable in the fourth quarter of 2025, which was received in the first quarter of 2026.</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has recognized collaboration revenue of $22.6 million and $56.6 million, respectively. For the three and nine months ended September 30, 2025, the Company recognized $13.9 million and $23.0 million of collaboration revenue, respectively. As of September 30, 2026, the Company has recorded approximately $32.7 million as a collaboration receivable due from Incyte related to the Company's portion of the profit share, commercialization and development costs under the Incyte Agreements and has recorded approximately $3.6 million as a collaboration payable due to Incyte for development and commercialization costs incurred by Incyte. As of December 31, 2025, the Company has recorded $28.1 million as a collaboration receivable due from Incyte related to the Company's portion of the profit share, commercialization and development costs under the Incyte Agreements and has recorded approximately $4.4 million as a collaboration payable due to Incyte for development and commercialization costs incurred by Incyte.</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share of collaboration profit or loss is based on net sales of Niktimvo and the collaborative commercialization expenses.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Vitae License Agreement, with Vitae Pharmaceuticals, Inc., or Vitae, a subsidiary of AbbVie, Inc., or AbbVie, under which the Company was granted an exclusive, sublicensable, worldwide license to a portfolio of preclinical, orally available, small molecule inhibitors of the Menin–KMT2A binding interaction, or the Menin Assets. Upon execution of the Vitae License Agreement, the Company agreed to pay Allergan (the predecessor in interest to AbbVie)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percentage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Vitae License Agreement, the Company achieved certain development and regulatory milestones resulting in $38.0 million in expense, which includes an $18.0 million milestone expense in 2024 and a $12.0 million milestone expense in 2025, related to the submission of a supplemental New Drug Application for Revuforj and the first United States sale of Revuforj in its second indication. In addition to the development and regulatory milestones, in September 2026, the Company recognized a $10.0 million sales-based milestone expense related to the achievement of net sales of Revuforj exceeding $150.0 million in the calendar year.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$41.0 million as research and development expense, which includes a $15.0 million milestone paid during the third quarter of 2024 upon the approval of Niktimvo and a $10.0 million milestone recognized in the first quarter of 2025 for the first patient dosed in a Phase III study with the compound in a combination with another agent. The Company also recognized a $10.0 million sales-based milestone expense in the fourth quarter of 2025 upon the achievement of $150.0 million in net sales of Niktimvo.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 w:name="page13"/>
    <w:bookmarkEnd w:id="1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73"/>
              </w:rPr>
              <w:t>except</w:t>
            </w: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vMerge w:val="continue"/>
          </w:tcPr>
          <w:p>
            <w:pPr>
              <w:spacing w:after="0"/>
              <w:rPr>
                <w:sz w:val="10"/>
                <w:szCs w:val="10"/>
                <w:color w:val="auto"/>
              </w:rPr>
            </w:pPr>
          </w:p>
        </w:tc>
        <w:tc>
          <w:tcPr>
            <w:tcW w:w="1420" w:type="dxa"/>
            <w:vAlign w:val="bottom"/>
            <w:gridSpan w:val="2"/>
          </w:tcPr>
          <w:p>
            <w:pPr>
              <w:jc w:val="right"/>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share and per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0" w:type="dxa"/>
            <w:vAlign w:val="bottom"/>
            <w:gridSpan w:val="3"/>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(49,433)</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(60,715)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(141,469)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(217,408)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74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(49,433)</w:t>
            </w:r>
          </w:p>
        </w:tc>
        <w:tc>
          <w:tcPr>
            <w:tcW w:w="400" w:type="dxa"/>
            <w:vAlign w:val="bottom"/>
            <w:vMerge w:val="restart"/>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(60,715)</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(141,469)</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(217,408)</w:t>
            </w: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74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74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color w:val="auto"/>
              </w:rPr>
              <w:t>(0.55)</w:t>
            </w:r>
          </w:p>
        </w:tc>
        <w:tc>
          <w:tcPr>
            <w:tcW w:w="400" w:type="dxa"/>
            <w:vAlign w:val="bottom"/>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7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89,789,842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86,620,992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89,017,885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86,531,218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common stockholders—basic and diluted</w:t>
            </w: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-848360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-830580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-848360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-830580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-848360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-830580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-830580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1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20" w:type="dxa"/>
            <w:vAlign w:val="bottom"/>
            <w:tcBorders>
              <w:top w:val="single" w:sz="8" w:color="auto"/>
              <w:bottom w:val="single" w:sz="8" w:color="auto"/>
            </w:tcBorders>
          </w:tcPr>
          <w:p>
            <w:pPr>
              <w:jc w:val="right"/>
              <w:ind w:right="9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13,302,121</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13,506,676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141,069</w:t>
            </w: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3,123,422</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2,805,159</w:t>
            </w:r>
          </w:p>
        </w:tc>
        <w:tc>
          <w:tcPr>
            <w:tcW w:w="100" w:type="dxa"/>
            <w:vAlign w:val="bottom"/>
            <w:shd w:val="clear" w:color="auto" w:fill="CFF0FC"/>
          </w:tcPr>
          <w:p>
            <w:pPr>
              <w:spacing w:after="0"/>
              <w:rPr>
                <w:sz w:val="18"/>
                <w:szCs w:val="18"/>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10,097,350</w:t>
            </w:r>
          </w:p>
        </w:tc>
        <w:tc>
          <w:tcPr>
            <w:tcW w:w="280" w:type="dxa"/>
            <w:vAlign w:val="bottom"/>
          </w:tcPr>
          <w:p>
            <w:pPr>
              <w:spacing w:after="0"/>
              <w:rPr>
                <w:sz w:val="20"/>
                <w:szCs w:val="20"/>
                <w:color w:val="auto"/>
              </w:rPr>
            </w:pP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14 — Stock 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 net</w:t>
      </w:r>
    </w:p>
    <w:p>
      <w:pPr>
        <w:spacing w:after="0" w:line="12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In April 2024, entinostat received marketing approval in China, and as a result, the Company recorded $3.5 million of milestone revenue in 2024. The Company had recorded a $3.7 million receivable related to milestones including $0.2 million of accrued interest under the license agreement with Eddingpharm in 2025, which remains outstanding as of September 30, 2026. As the receivable remains outstanding, and the Company has assessed the amount as non-recoverable, the Company recorded a full reserve against the asset as a selling, general and administrative expense in 2025. There has been no additional reserves or writeoffs as of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jc w:val="both"/>
        <w:ind w:left="1020" w:right="360" w:hanging="48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(unadjusted)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September 30, 2026</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8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135,941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135,941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551,079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3880" w:type="dxa"/>
            <w:vAlign w:val="bottom"/>
            <w:tcBorders>
              <w:bottom w:val="single" w:sz="8" w:color="CFF0FC"/>
            </w:tcBorders>
            <w:gridSpan w:val="2"/>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115,358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115,358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-1028065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-1028065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-1028065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-1028065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periods ended September 30, 2026 and 2025. In addition, there have been no changes in valuation techniques during the periods ended September 30, 2026 and 2025.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September 30, 2026, the remaining contractual maturities of the available-for-sale securities were 1 to 23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and nine months ended September 30, 2026 and 2025. As a result, the Company did not reclassify any amounts out of accumulated other comprehensive gain for the same periods.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4"/>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258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Treasury / Government Agency</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5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416,806</w:t>
            </w:r>
          </w:p>
        </w:tc>
        <w:tc>
          <w:tcPr>
            <w:tcW w:w="240" w:type="dxa"/>
            <w:vAlign w:val="bottom"/>
            <w:gridSpan w:val="2"/>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7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 Government Agency</w:t>
            </w:r>
          </w:p>
        </w:tc>
        <w:tc>
          <w:tcPr>
            <w:tcW w:w="1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258,688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-1516380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-1499235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-1516380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-1499235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-1516380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-1499235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-942340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-942340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98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2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9. Inventory, net</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net consisted of the following (in thousands):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100" w:type="dxa"/>
            <w:vAlign w:val="bottom"/>
          </w:tcPr>
          <w:p>
            <w:pPr>
              <w:spacing w:after="0"/>
              <w:rPr>
                <w:sz w:val="18"/>
                <w:szCs w:val="18"/>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-1456690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-1439545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on a first-in, first-out basis.</w:t>
      </w:r>
    </w:p>
    <w:p>
      <w:pPr>
        <w:spacing w:after="0" w:line="225"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Prior to the FDA's approval of Revuforj in November 2024, all costs for the manufacturing of product to support clinical development and commercial launch, including pre-launch inventory, were expensed as research and development costs. The pre-launch inventory will continue to be used in commercial production until it is depleted.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8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-453390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$6,000 and $15,000 for the three and nine months ended September 30, 2026,respectively, and $3,000 for both the three and nine month periods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00" w:type="dxa"/>
            <w:vAlign w:val="bottom"/>
          </w:tcPr>
          <w:p>
            <w:pPr>
              <w:spacing w:after="0"/>
              <w:rPr>
                <w:sz w:val="24"/>
                <w:szCs w:val="24"/>
                <w:color w:val="auto"/>
              </w:rPr>
            </w:pP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 costs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milestone costs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royalty payable</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 royalty interest financing</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 convertible note</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116,863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103,064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Royalty Interest Financing Liability</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the Company, its affiliates and its licensees in the United States and its respective territories, districts, commonwealths and possessions (including Guam and Puerto Rico) in exchange for an upfront fee of $350.0 million.</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w:t>
      </w:r>
    </w:p>
    <w:p>
      <w:pPr>
        <w:spacing w:after="0" w:line="180"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w:t>
      </w:r>
    </w:p>
    <w:p>
      <w:pPr>
        <w:spacing w:after="0" w:line="158"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spacing w:after="0" w:line="16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Purchase and Sale Agreement and identified it as a sale of future revenue in the form of a debt instrument to be accounted for as a liability under Topic ASC 470, </w:t>
      </w:r>
      <w:r>
        <w:rPr>
          <w:rFonts w:ascii="Times New Roman" w:cs="Times New Roman" w:eastAsia="Times New Roman" w:hAnsi="Times New Roman"/>
          <w:sz w:val="18"/>
          <w:szCs w:val="18"/>
          <w:i w:val="1"/>
          <w:iCs w:val="1"/>
          <w:color w:val="auto"/>
        </w:rPr>
        <w:t>Borrower’s Accounting for Debt Modifications</w:t>
      </w:r>
      <w:r>
        <w:rPr>
          <w:rFonts w:ascii="Times New Roman" w:cs="Times New Roman" w:eastAsia="Times New Roman" w:hAnsi="Times New Roman"/>
          <w:sz w:val="18"/>
          <w:szCs w:val="18"/>
          <w:color w:val="auto"/>
        </w:rPr>
        <w:t>. The Company has elected to use the prospective method in its calculation of its effective interest rate and will update this calculation quarterly when there are changes in the projected sales. Issuance costs pursuant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period ended September 30, 2026 and December 31, 2025, the Company estimated an effective annual interest rate of approximately</w:t>
      </w:r>
    </w:p>
    <w:p>
      <w:pPr>
        <w:spacing w:after="0" w:line="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11.17% and 13.02%, respectively.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and nine months ended September 30, 2026, the Company recognized royalty interest expense of $11.8 million and $35.8 million, respectively. The Company made $23.6 million of payments pursuant to the Purchase and Sale Agreement during the nine month period ended September 30,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royalty interest financing liability</w:t>
            </w:r>
          </w:p>
        </w:tc>
        <w:tc>
          <w:tcPr>
            <w:tcW w:w="240" w:type="dxa"/>
            <w:vAlign w:val="bottom"/>
          </w:tcPr>
          <w:p>
            <w:pPr>
              <w:spacing w:after="0"/>
              <w:rPr>
                <w:sz w:val="15"/>
                <w:szCs w:val="15"/>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interest financing liability, less current portion</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royalty interest financing liability, net</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344,095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Convertible Notes</w:t>
      </w:r>
    </w:p>
    <w:p>
      <w:pPr>
        <w:spacing w:after="0" w:line="33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June 2026, the Company issued $250.0 million aggregate principal amount of 2.25% Convertible Senior Notes due 2031, or the 2031 Notes, in a private placement to institutional accredited investors that are qualified institutional buyers under Rule 144A in reliance on the exemption from registration provided by Section 4(a)(2) of the Securities Act. The 2031 Notes are senior, unsecured obligations of the Company and bear interest at 2.25% per annum, payable semi-annually in arrears on June 15 and December 15, beginning December 15, 2026. The 2031 Notes mature on June 15, 2031, unless earlier converted, redeemed, or repurchased. The initial conversion rate is 40.3894 shares of common stock per $1,000 principal amount (equivalent to an initial conversion price of approximately $24.76 per share), subject to customary anti-dilution adjustments under certain circumstances in accordance with the terms of the indenture relating to the 2031 Notes. Upon conversion, the Company will pay or deliver, at its election, cash, shares of its common stock, or a combination of cash and shares of common stock. Before March 15, 2031, the 2031 Notes are convertible only upon the satisfaction of specified conditions; thereafter, the 2031 Notes are convertible at any time until the second scheduled trading day before maturity. The Company may redeem for cash all or any portion of the 2031 Notes (subject to certain limitations) on or after June 20, 2029 if the last reported sale price of its common stock exceeds 130% of the conversion price for a specified period at a redemption price equal to 100% of the principal amount of the 2031 Notes to be redeemed, plus accrued and unpaid interest to, but excluding, the redemption date. If the Company undergoes a fundamental change (as defined in the indenture governing the 2031 Notes), holders may require the Company to repurchase their 2031 Notes for cash at a price equal to 100% of the principal amount plus accrued and unpaid interest to, but excluding, the fundamental change repurchase date. Initially, a maximum of 13,631,400 shares of common stock may be issued upon conversion of the 2031 Notes based on the initial maximum conversion rate of 54.5256 shares of common stock per $1,000 principal amount of 2031 Notes, which is subject to customary anti-dilution adjustment provisions. The 2031 Notes are classified as a long-term liability under ASC 470 and are presented net of unamortized debt issuance costs, which are amortized to interest expense over the term of the 2031 Notes using the effective interest method. Accrued interest related to the 2031 Notes is recorded under the accrued expenses and other current liabilities line of the balance sheet. As of September 30, 2026, the net carrying amount of the 2031 Notes was $244.2 million, unamortized debt issuance costs were $5.8 million, and the effective interest rate was 2.78%.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convertible note liability</w:t>
            </w: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 liability, less current portion</w:t>
            </w:r>
          </w:p>
        </w:tc>
        <w:tc>
          <w:tcPr>
            <w:tcW w:w="2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convertible note liability, net</w:t>
            </w:r>
          </w:p>
        </w:tc>
        <w:tc>
          <w:tcPr>
            <w:tcW w:w="30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January 2026, the number of shares of common stock available for issuance under the Company’s 2015 Omnibus Incentive Plan, or the 2015 Plan, was increased by 3,496,239 shares of common stock due to the automatic annual provision to increase shares of common stock available under the 2015 Plan. In March 2026, the 2015 Plan expired. In June 2026, the 2026 Equity Incentive Plan, or the 2026 Plan, was approved. The maximum number of shares of the Company’s common stock that may be issued under the 2026 Plan is 17,134,916 shares, which is the sum of (i) 7,200,000 newly authorized shares, plus (ii) up to 9,934,916 shares of common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7" w:name="page18"/>
    <w:bookmarkEnd w:id="17"/>
    <w:p>
      <w:pPr>
        <w:ind w:right="280"/>
        <w:spacing w:after="0" w:line="282" w:lineRule="auto"/>
        <w:rPr>
          <w:sz w:val="20"/>
          <w:szCs w:val="20"/>
          <w:color w:val="auto"/>
        </w:rPr>
      </w:pPr>
      <w:r>
        <w:rPr>
          <w:rFonts w:ascii="Times New Roman" w:cs="Times New Roman" w:eastAsia="Times New Roman" w:hAnsi="Times New Roman"/>
          <w:sz w:val="18"/>
          <w:szCs w:val="18"/>
          <w:color w:val="auto"/>
        </w:rPr>
        <w:t>subject to outstanding stock awards granted under the 2015 Plan that, on or after the 2026 Plan becomes effective, expire or otherwise terminate prior to exercise or settlement.</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100,408 shares of common stock available for issuance under the 2023 Plan and 7,738,824 shares of common stock available for issuance under the 2026 Plan.</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140" w:type="dxa"/>
            <w:vAlign w:val="bottom"/>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24,107</w:t>
            </w: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and nine months ended September 30, 2026 and 2025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9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0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3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134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-800735</wp:posOffset>
            </wp:positionV>
            <wp:extent cx="9398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-800735</wp:posOffset>
            </wp:positionV>
            <wp:extent cx="9398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-800735</wp:posOffset>
            </wp:positionV>
            <wp:extent cx="9398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-800735</wp:posOffset>
            </wp:positionV>
            <wp:extent cx="9398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stock-based compensation expense of $0.2 million and $0.4 million was capitalized to inventory for the three and nine months ended September 30, 2026, respectively, which represents the stock-based compensation expense incurred related to employees involved in the manufacturing process of finished goods and samples. For the three and nine months ended September 30, 2025, $0.1 million and $0.3 million of stock compensation expense was capitalized to inventory.</w:t>
      </w:r>
    </w:p>
    <w:p>
      <w:pPr>
        <w:spacing w:after="0" w:line="7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$93.0 million of unrecognized compensation costs related to employee and non-employee unvested stock options and RSUs granted under the Inducement Plan, 2015 Plan, 2026 Plan, and the Company’s 2007 Stock Plan, which are expected to be recognized over a weighted-average remaining service period of 2.66 years.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retirement plan. For the three and nine months ended September 30, 2026, the Company made $0.3 million and $3.1 million, respectively, of contributions to the plan. For the three and nine months ended September 30, 2025, the Company made $0.3 million and $3.0 million, respectively, of contributions to the plan. The Company’s contributions were made in cash.</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In September 2026, the remaining pre-funded warrants were exercised for 285,711 shares of common stock. As of September 30, 2026, there were no pre-funded warrants outstanding.</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 Company is obligated to pay royalties pursuant to the Vitae License Agreement and the UCB License Agreement as a percentage of net product sales for direct licensed products, such as Revuforj and Niktimvo. The obligation to pay royalties expires, on a country-by-country basis and licensed product-by-licensed product basis at the later of (i) the expiration of all of the licensed patent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180"/>
        <w:spacing w:after="0" w:line="282" w:lineRule="auto"/>
        <w:rPr>
          <w:sz w:val="20"/>
          <w:szCs w:val="20"/>
          <w:color w:val="auto"/>
        </w:rPr>
      </w:pPr>
      <w:r>
        <w:rPr>
          <w:rFonts w:ascii="Times New Roman" w:cs="Times New Roman" w:eastAsia="Times New Roman" w:hAnsi="Times New Roman"/>
          <w:sz w:val="18"/>
          <w:szCs w:val="18"/>
          <w:color w:val="auto"/>
        </w:rPr>
        <w:t>rights in such country; (ii) the expiration of all regulatory exclusivity applicable to the product in such country; and (iii) 10 years from the date of the first commercial sale of the product in such country. These fees were recorded as cost of product sales.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September 30,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337" w:lineRule="exact"/>
        <w:rPr>
          <w:sz w:val="20"/>
          <w:szCs w:val="20"/>
          <w:color w:val="auto"/>
        </w:rPr>
      </w:pPr>
    </w:p>
    <w:p>
      <w:pPr>
        <w:ind w:right="160" w:firstLine="509"/>
        <w:spacing w:after="0" w:line="239"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 as a single operating and reportable segment: Syndax Pharmaceuticals. The Company primarily derives revenue in the United States through milestone revenue and product sales on the approved products,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(axatilimab-csfr). The accounting policies of the segment are the same as those described in Note 3 – Summary of Significant Accounting Policies.</w:t>
      </w:r>
    </w:p>
    <w:p>
      <w:pPr>
        <w:spacing w:after="0" w:line="30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basis when making decisions about the allocation of operating and capital resources.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biopharmaceutical cancer therapeutics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3"/>
                <w:szCs w:val="13"/>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89"/>
        </w:trPr>
        <w:tc>
          <w:tcPr>
            <w:tcW w:w="152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28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220,950</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103,624</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Revumenib-related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70,707</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Axatilimab-related costs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R&amp;D programs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Commercial-related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SG&amp;A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Royalty interest expense</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Convertible note interest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(5,591)</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(5,269)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(12,896)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(18,396)</w:t>
            </w: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r>
      <w:tr>
        <w:trPr>
          <w:trHeight w:val="249"/>
        </w:trPr>
        <w:tc>
          <w:tcPr>
            <w:tcW w:w="4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Segment net loss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(49,433)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(60,715)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(141,469)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(217,408)</w:t>
            </w:r>
          </w:p>
        </w:tc>
      </w:tr>
      <w:tr>
        <w:trPr>
          <w:trHeight w:val="413"/>
        </w:trPr>
        <w:tc>
          <w:tcPr>
            <w:tcW w:w="152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99"/>
              </w:rPr>
              <w:t>16</w:t>
            </w: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-796290</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-779145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-796290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-779145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-796290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-779145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or the Quarterly Report, and the audited financial information and the notes thereto included in our Annual Report on Form 10-K that was filed with the Securities and Exchange Commission, or SEC, on February 26,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00" w:firstLine="509"/>
        <w:spacing w:after="0" w:line="275" w:lineRule="auto"/>
        <w:rPr>
          <w:sz w:val="20"/>
          <w:szCs w:val="20"/>
          <w:color w:val="auto"/>
        </w:rPr>
      </w:pPr>
      <w:r>
        <w:rPr>
          <w:rFonts w:ascii="Times New Roman" w:cs="Times New Roman" w:eastAsia="Times New Roman" w:hAnsi="Times New Roman"/>
          <w:sz w:val="18"/>
          <w:szCs w:val="18"/>
          <w:color w:val="auto"/>
        </w:rPr>
        <w:t>We are a commercial-stage biopharmaceutical company advancing innovative cancer therapies. We currently have two commercially approved medicines,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a robust pipeline of late- and early-stage development programs.</w:t>
      </w: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or KMT2A-rearranged, or KMT2Ar, acute leukemia across the treatment landscape, including in newly diagnosed patients.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licensed the global rights to revumenib and axatilimab, the first two FDA approved medicines to emerge from our pipeline. We are leading the commercialization and further development of revumenib and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July 2026, we announced two new pipeline assets, SNDX-4321 and SNDX-62122. SNDX-4321 is a novel, mutant-selective, allosteric epidermal growth factor receptor, or EGFR, inhibitor designed to address non-small cell lung cancer, or NSCLC, patient populations with significant unmet needs. The Company has an exclusive worldwide license to develop and commercialize SNDX-4321. SNDX-62122 is a next-generation menin inhibitor in development for myelofibrosis, or MF. SNDX-62122 is the first molecule from our library of internally developed and wholly owned next-generation menin inhibitors that we intend to advance into new areas. Our SNDX-62122 program builds off recently published revumenib preclinical data showing that menin is a novel dependency in proliferative megakaryocytes, major drivers of MF. We expect the development of SNDX-62122 to be informed and de-risked by a planned Phase 1/2 proof-of-principle trial of revumenib in MF.</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While we generate product revenue from sales of Revuforj and collaboration as well as milestone revenue from sales of Niktimvo, we continue to incur significant research and development and other expenses related to our ongoing operations. Except for 2021, we have not been profitable and have incurred losses in each period since our inception in 2005. For the nine months ended September 30, 2026 and 2025, we reported a net loss of $141.5 million and $217.4 million, respectively. As of September 30, 2026, we had an accumulated deficit of $1.6 billion. As of September 30, 2026, we had cash, cash equivalents and short- and long-term investments of $551.1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Revuforj</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(revumenib)</w:t>
      </w:r>
    </w:p>
    <w:p>
      <w:pPr>
        <w:spacing w:after="0" w:line="160" w:lineRule="exact"/>
        <w:rPr>
          <w:sz w:val="20"/>
          <w:szCs w:val="20"/>
          <w:color w:val="auto"/>
        </w:rPr>
      </w:pPr>
    </w:p>
    <w:p>
      <w:pPr>
        <w:ind w:left="380" w:right="1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$60.7 million in Revuforj net revenue in the third quarter of 2026, a 90% increase over the third quarter of 2025 and an 11% increase over the second quarter of 2026. New patients and total prescriptions increased by approximately 20% and 13%, respectively, in the third quarter of 2026 compared to the second quarter of 2026. The double-digit growth in net revenue, new patients, and total prescriptions reflects robust uptake in both Revuforj indications and a growing number of both R/R KMT2A-rearranged, or KMT2Ar, and NPM1m patients proceeding to hematopoietic stem cell transplant, or HSCT, and then resuming therapy in the post-transplant setting</w:t>
      </w:r>
      <w:r>
        <w:rPr>
          <w:rFonts w:ascii="Arial" w:cs="Arial" w:eastAsia="Arial" w:hAnsi="Arial"/>
          <w:sz w:val="19"/>
          <w:szCs w:val="19"/>
          <w:color w:val="auto"/>
        </w:rPr>
        <w:t>.</w:t>
      </w:r>
    </w:p>
    <w:p>
      <w:pPr>
        <w:spacing w:after="0" w:line="170"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data indicate that approximately 50% of R/R KMT2Ar patients proceed to a HSCT after receiving Revuforj, of which about 60% have resumed therapy post-transplant. Notably, the data also indicate that approximately 40% of R/R NPM1m patients proceed to a HSCT after receiving Revuforj, of which about 50% have resumed therapy post-transplant.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 w:name="page21"/>
    <w:bookmarkEnd w:id="20"/>
    <w:p>
      <w:pPr>
        <w:ind w:left="372" w:right="540" w:hanging="372"/>
        <w:spacing w:after="0" w:line="266" w:lineRule="auto"/>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Revuforj received the Best Product for Rare/Orphan Diseases award from The Galien Foundation, one of the world’s most prestigious awards for biomedical research and innovation. Additionally, Revuforj was named as one of TIME’s Best Inventions of 2026 in the Medical and Healthcare category.</w:t>
      </w:r>
    </w:p>
    <w:p>
      <w:pPr>
        <w:spacing w:after="0" w:line="175"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have a major presence at upcoming medical meetings, with the presentation in the fourth quarter of 2026 of new/updated revumenib data including:</w:t>
      </w:r>
    </w:p>
    <w:p>
      <w:pPr>
        <w:spacing w:after="0" w:line="161"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data from the BEAT AML trial of revumenib in combination with venetoclax/azacitidine in NPM1m and KMT2Ar AML</w:t>
      </w:r>
    </w:p>
    <w:p>
      <w:pPr>
        <w:spacing w:after="0" w:line="117" w:lineRule="exact"/>
        <w:rPr>
          <w:rFonts w:ascii="Times New Roman" w:cs="Times New Roman" w:eastAsia="Times New Roman" w:hAnsi="Times New Roman"/>
          <w:sz w:val="18"/>
          <w:szCs w:val="18"/>
          <w:color w:val="auto"/>
        </w:rPr>
      </w:pPr>
    </w:p>
    <w:p>
      <w:pPr>
        <w:ind w:left="1012" w:right="80" w:hanging="503"/>
        <w:spacing w:after="0" w:line="282" w:lineRule="auto"/>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data from the SAVE trial of the all-oral combination of revumenib, decitabine/cedazuridine, and venetoclax in NPM1m, KMT2Ar, or NUP98-rearranged, or NUP98r, AML</w:t>
      </w:r>
    </w:p>
    <w:p>
      <w:pPr>
        <w:spacing w:after="0" w:line="53"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data from a Phase 1 trial of revumenib in combination with intensive chemotherapy in NPM1m, KMT2Ar, or NUP98r AML</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Post-transplant maintenance data</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Real-world evidence from multiple centers</w:t>
      </w:r>
    </w:p>
    <w:p>
      <w:pPr>
        <w:spacing w:after="0" w:line="117" w:lineRule="exact"/>
        <w:rPr>
          <w:rFonts w:ascii="Times New Roman" w:cs="Times New Roman" w:eastAsia="Times New Roman" w:hAnsi="Times New Roman"/>
          <w:sz w:val="18"/>
          <w:szCs w:val="18"/>
          <w:color w:val="auto"/>
        </w:rPr>
      </w:pPr>
    </w:p>
    <w:p>
      <w:pPr>
        <w:ind w:left="1012" w:right="420" w:hanging="503"/>
        <w:spacing w:after="0" w:line="282" w:lineRule="auto"/>
        <w:tabs>
          <w:tab w:leader="none" w:pos="10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INTERCEPT, a Phase 1 trial evaluating revumenib as pre-emptive therapy for measurable residual disease, or MRD, or early relapse among patients with NPM1m or KMT2Ar AML</w:t>
      </w:r>
    </w:p>
    <w:p>
      <w:pPr>
        <w:spacing w:after="0" w:line="26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publish safety and efficacy data from R/R NUP98r acute leukemia patients treated with revumenib in the fourth quarter of 2026.</w:t>
      </w:r>
    </w:p>
    <w:p>
      <w:pPr>
        <w:spacing w:after="0" w:line="225" w:lineRule="exact"/>
        <w:rPr>
          <w:rFonts w:ascii="Times New Roman" w:cs="Times New Roman" w:eastAsia="Times New Roman" w:hAnsi="Times New Roman"/>
          <w:sz w:val="18"/>
          <w:szCs w:val="18"/>
          <w:color w:val="auto"/>
        </w:rPr>
      </w:pPr>
    </w:p>
    <w:p>
      <w:pPr>
        <w:ind w:left="372" w:right="60" w:hanging="372"/>
        <w:spacing w:after="0" w:line="282" w:lineRule="auto"/>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preclinical revumenib data showing that menin is a novel dependency in proliferative megakaryocytes, major drivers of MF, in Cancer Cell in July 2026. These data provide the basis for our plans to develop SNDX-62122, an internally developed, next-generation menin inhibitor, for MF.</w:t>
      </w:r>
    </w:p>
    <w:p>
      <w:pPr>
        <w:spacing w:after="0" w:line="16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clinical trials evaluating revumenib across the acute leukemia treatment continuum are ongoing, such as:</w:t>
      </w:r>
    </w:p>
    <w:p>
      <w:pPr>
        <w:spacing w:after="0" w:line="225" w:lineRule="exact"/>
        <w:rPr>
          <w:rFonts w:ascii="Times New Roman" w:cs="Times New Roman" w:eastAsia="Times New Roman" w:hAnsi="Times New Roman"/>
          <w:sz w:val="18"/>
          <w:szCs w:val="18"/>
          <w:color w:val="auto"/>
        </w:rPr>
      </w:pPr>
    </w:p>
    <w:p>
      <w:pPr>
        <w:ind w:left="1132" w:right="400" w:hanging="383"/>
        <w:spacing w:after="0" w:line="261"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EVOLVE-2: A pivotal, Phase 3, randomized, double-blind, placebo-controlled trial of revumenib in combination with venetoclax and azacitidine in newly diagnosed NPM1m (primary efficacy analysis population) and KMT2Ar AML patients who are unfit for intensive chemotherapy. The trial is being conducted in collaboration with the HOVON network, a leading cooperative clinical trial group with extensive experience studying novel therapies for hematologic malignancies.</w:t>
      </w:r>
    </w:p>
    <w:p>
      <w:pPr>
        <w:spacing w:after="0" w:line="179" w:lineRule="exact"/>
        <w:rPr>
          <w:rFonts w:ascii="Times New Roman" w:cs="Times New Roman" w:eastAsia="Times New Roman" w:hAnsi="Times New Roman"/>
          <w:sz w:val="18"/>
          <w:szCs w:val="18"/>
          <w:color w:val="auto"/>
        </w:rPr>
      </w:pPr>
    </w:p>
    <w:p>
      <w:pPr>
        <w:ind w:left="1132" w:right="740" w:hanging="383"/>
        <w:spacing w:after="0" w:line="282"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REVEAL-ND: A pivotal, Phase 3, randomized, double-blind, placebo-controlled trial of revumenib in combination with intensive chemotherapy in newly diagnosed NPM1m AML patients.</w:t>
      </w:r>
    </w:p>
    <w:p>
      <w:pPr>
        <w:spacing w:after="0" w:line="161" w:lineRule="exact"/>
        <w:rPr>
          <w:rFonts w:ascii="Times New Roman" w:cs="Times New Roman" w:eastAsia="Times New Roman" w:hAnsi="Times New Roman"/>
          <w:sz w:val="18"/>
          <w:szCs w:val="18"/>
          <w:color w:val="auto"/>
        </w:rPr>
      </w:pPr>
    </w:p>
    <w:p>
      <w:pPr>
        <w:ind w:left="1132" w:right="400" w:hanging="383"/>
        <w:spacing w:after="0" w:line="266"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 Phase 1/2 trial evaluating an all-oral combination of revumenib with venetoclax and decitabine/cedazuridine in pediatric and adult patients with newly diagnosed and R/R AML or mixed-lineage acute leukemia harboring either NPM1m, KMT2Ar, or NUP98r alterations. The trial is being conducted by investigators from MD Anderson Cancer Center.</w:t>
      </w:r>
    </w:p>
    <w:p>
      <w:pPr>
        <w:spacing w:after="0" w:line="175" w:lineRule="exact"/>
        <w:rPr>
          <w:rFonts w:ascii="Times New Roman" w:cs="Times New Roman" w:eastAsia="Times New Roman" w:hAnsi="Times New Roman"/>
          <w:sz w:val="18"/>
          <w:szCs w:val="18"/>
          <w:color w:val="auto"/>
        </w:rPr>
      </w:pPr>
    </w:p>
    <w:p>
      <w:pPr>
        <w:ind w:left="1132" w:right="60" w:hanging="383"/>
        <w:spacing w:after="0" w:line="282"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Two ongoing Phase 1 trials evaluating the combination of revumenib with intensive chemotherapy (7+3) in newly diagnosed NPM1m or KMT2Ar acute leukemia patients.</w:t>
      </w:r>
    </w:p>
    <w:p>
      <w:pPr>
        <w:spacing w:after="0" w:line="161" w:lineRule="exact"/>
        <w:rPr>
          <w:rFonts w:ascii="Times New Roman" w:cs="Times New Roman" w:eastAsia="Times New Roman" w:hAnsi="Times New Roman"/>
          <w:sz w:val="18"/>
          <w:szCs w:val="18"/>
          <w:color w:val="auto"/>
        </w:rPr>
      </w:pPr>
    </w:p>
    <w:p>
      <w:pPr>
        <w:ind w:left="1132" w:right="280" w:hanging="383"/>
        <w:spacing w:after="0" w:line="236"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A Phase 1b trial evaluating the combination of revumenib with venetoclax and azacitidine in newly diagnosed older adults (≥60 years) with NPM1m or KMT2Ar AML. The trial is being conducted as part of the Leukemia &amp; Lymphoma Society's Beat AML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Master Clinical Trial.</w:t>
      </w:r>
    </w:p>
    <w:p>
      <w:pPr>
        <w:spacing w:after="0" w:line="199" w:lineRule="exact"/>
        <w:rPr>
          <w:rFonts w:ascii="Times New Roman" w:cs="Times New Roman" w:eastAsia="Times New Roman" w:hAnsi="Times New Roman"/>
          <w:sz w:val="18"/>
          <w:szCs w:val="18"/>
          <w:color w:val="auto"/>
        </w:rPr>
      </w:pPr>
    </w:p>
    <w:p>
      <w:pPr>
        <w:ind w:left="1132" w:right="120" w:hanging="383"/>
        <w:spacing w:after="0" w:line="282"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Post-transplant maintenance: A Phase 1 trial evaluating the safety and preliminary efficacy of revumenib as post-transplant maintenance in patients with KMT2Ar or NPM1m acute leukemia. The trial is being conducted by investigators from the City of Hope Medical Center.</w:t>
      </w:r>
    </w:p>
    <w:p>
      <w:pPr>
        <w:spacing w:after="0" w:line="159" w:lineRule="exact"/>
        <w:rPr>
          <w:rFonts w:ascii="Times New Roman" w:cs="Times New Roman" w:eastAsia="Times New Roman" w:hAnsi="Times New Roman"/>
          <w:sz w:val="18"/>
          <w:szCs w:val="18"/>
          <w:color w:val="auto"/>
        </w:rPr>
      </w:pPr>
    </w:p>
    <w:p>
      <w:pPr>
        <w:ind w:left="1132" w:right="40" w:hanging="383"/>
        <w:spacing w:after="0" w:line="284"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Phase 2 trial studying whether the combination of revumenib and venetoclax can eliminate MRD in patients with AML and extend progression-free survival. The trial is being conducted by Break Through</w:t>
      </w:r>
    </w:p>
    <w:p>
      <w:pPr>
        <w:spacing w:after="0" w:line="1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36" w:right="339" w:bottom="1440" w:gutter="0" w:footer="0" w:header="0"/>
        </w:sectPr>
      </w:pPr>
    </w:p>
    <w:bookmarkStart w:id="21" w:name="page22"/>
    <w:bookmarkEnd w:id="21"/>
    <w:p>
      <w:pPr>
        <w:ind w:left="1140"/>
        <w:spacing w:after="0"/>
        <w:rPr>
          <w:sz w:val="20"/>
          <w:szCs w:val="20"/>
          <w:color w:val="auto"/>
        </w:rPr>
      </w:pPr>
      <w:r>
        <w:rPr>
          <w:rFonts w:ascii="Times New Roman" w:cs="Times New Roman" w:eastAsia="Times New Roman" w:hAnsi="Times New Roman"/>
          <w:sz w:val="18"/>
          <w:szCs w:val="18"/>
          <w:color w:val="auto"/>
        </w:rPr>
        <w:t>Cancer, a collaboration between leading U.S. cancer research centers.</w:t>
      </w:r>
    </w:p>
    <w:p>
      <w:pPr>
        <w:spacing w:after="0" w:line="225" w:lineRule="exact"/>
        <w:rPr>
          <w:sz w:val="20"/>
          <w:szCs w:val="20"/>
          <w:color w:val="auto"/>
        </w:rPr>
      </w:pPr>
    </w:p>
    <w:p>
      <w:pPr>
        <w:ind w:left="1140" w:right="320" w:hanging="383"/>
        <w:spacing w:after="0" w:line="312" w:lineRule="auto"/>
        <w:tabs>
          <w:tab w:leader="none" w:pos="11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INTERCEPT: A Phase 1 trial evaluating the use of novel therapies, including revumenib, to target MRD and early relapse in AML. The trial is being conducted by the Australasian Leukemia and Lymphoma Group as part of the INTERCEPT AML master clinical trial.</w:t>
      </w:r>
    </w:p>
    <w:p>
      <w:pPr>
        <w:spacing w:after="0" w:line="139" w:lineRule="exact"/>
        <w:rPr>
          <w:rFonts w:ascii="Times New Roman" w:cs="Times New Roman" w:eastAsia="Times New Roman" w:hAnsi="Times New Roman"/>
          <w:sz w:val="17"/>
          <w:szCs w:val="17"/>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RAVEN trial to initiate in the fourth quarter of 2026. RAVEN is a Phase 2 collaborative trial of revumenib in combination with venetoclax and azacitidine in newly diagnosed KMT2Ar patients who would be considered eligible, or fit, for intensive chemotherapy.</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MenTain Phase 2 trial to initiate in the first quarter of 2027. MenTain will be the first randomized, placebo-controlled trial specifically focused on evaluating revumenib as post-transplant maintenance.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Niktimvo™ (axatilimab-csfr)</w:t>
      </w:r>
    </w:p>
    <w:p>
      <w:pPr>
        <w:spacing w:after="0" w:line="229" w:lineRule="exact"/>
        <w:rPr>
          <w:sz w:val="20"/>
          <w:szCs w:val="20"/>
          <w:color w:val="auto"/>
        </w:rPr>
      </w:pPr>
    </w:p>
    <w:p>
      <w:pPr>
        <w:jc w:val="both"/>
        <w:ind w:left="380" w:hanging="372"/>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$67.4 million in Niktimvo net revenue in the third quarter of 2026, a 47% increase over the third quarter of 2025 and an 12% increase over the second quarter of 2026. Syndax and Incyte are co-commercializing Niktimvo. Syndax records 50% of the Niktimvo net commercial profit, defined as net product revenue minus the cost of sales and commercial expenses. Syndax’s share of the Niktimvo product contribution, reported as collaboration revenue, was $22.6 million in the third quarter of 2026.</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data supporting the safety and feasibility of reduced-frequency dosing of axatilimab in patients with recurrent or refractory chronic graft-versus-host disease (GHVD) were published in Blood Advances. Data from the pivotal AGAVE-201 trial show that transition from axatilimab 0.3 mg/kg every two weeks to 0.6 mg/kg every four weeks was feasible and well tolerated. Patients had a prolonged duration of therapy after the switch (median of 21 months), and 84% remained on treatment as of the data cutoff, suggesting ongoing clinical benefit.</w:t>
      </w:r>
    </w:p>
    <w:p>
      <w:pPr>
        <w:spacing w:after="0" w:line="1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trials evaluating axatilimab in patients with newly diagnosed chronic graft-versus-host disease (GVHD) are ongoing, including a Phase 2 trial in combination with ruxolitinib and a Phase 3 trial in combination with corticosteroids.</w:t>
      </w:r>
    </w:p>
    <w:p>
      <w:pPr>
        <w:spacing w:after="0" w:line="16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topline data from the Phase 2 trial of axatilimab in combination with ruxolitinib to be presented at a medical meeting in the first quarter of 2027.</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topline data from the Phase 3 trial of axatilimab in combination with corticosteroids in early 2028.</w:t>
      </w:r>
    </w:p>
    <w:p>
      <w:pPr>
        <w:spacing w:after="0" w:line="33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we announced that the MAXPIRe Phase 2 trial of axatilimab in idiopathic pulmonary fibrosis, or IPF, did not meet its primary endpoint of the annualized rate of decline in forced vital capacity or FVC. The safety and tolerability profile observed in MAXPIRe was consistent with previous clinical studies of axatilimab, with no new safety signals identified. Based on the results observed, Syndax does not plan to move forward with further development of axatilimab in IPF. The results from the MAXPIRe trial do not affect ongoing trials of axatilimab in other potential indications.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SNDX-4321</w:t>
      </w:r>
    </w:p>
    <w:p>
      <w:pPr>
        <w:spacing w:after="0" w:line="121" w:lineRule="exact"/>
        <w:rPr>
          <w:sz w:val="20"/>
          <w:szCs w:val="20"/>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2026, we announced the expansion of our pipeline with SNDX-4321, a mutant-selective, CNS-penetrant, allosteric EGFR inhibitor. SNDX-4321 is in development for NSCLC patient populations with significant unmet needs, such as those with L858R mutations, CNS metastases, atypical activating mutations, or acquired resistance to current therapies. In contrast to ATP-site directed third and fourth generation EGFR inhibitors, SNDX-4321 is a novel allosteric inhibitor which binds at a pocket adjacent to the ATP site that is only accessible in the presence of L858R and certain other EGFR mutations.</w:t>
      </w:r>
    </w:p>
    <w:p>
      <w:pPr>
        <w:spacing w:after="0" w:line="18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an investigational new drug (IND) application for SNDX-4321 by the end of 2026 and to initiate a Phase 1 trial in EGFRm NSCLC in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SNDX-62122</w:t>
      </w:r>
    </w:p>
    <w:p>
      <w:pPr>
        <w:spacing w:after="0" w:line="229" w:lineRule="exact"/>
        <w:rPr>
          <w:sz w:val="20"/>
          <w:szCs w:val="20"/>
          <w:color w:val="auto"/>
        </w:rPr>
      </w:pPr>
    </w:p>
    <w:p>
      <w:pPr>
        <w:ind w:left="380" w:right="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2026, we announced the selection of SNDX-62122, a next-generation menin inhibitor, for development in MF. SNDX-62122 is the first candidate from a library of internally developed, wholly owned next-generation menin inhibitors that we intend to advance into new areas.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jc w:val="both"/>
        <w:ind w:left="38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an IND and initiate a Phase 1 trial of SNDX-62122 in MF in the fourth quarter of 2027. The development of SNDX-62122 will be informed by a Phase 1/2 proof-of-principle trial of revumenib in MF that is expected to initiate in the fourth quarter of 2026 with initial clinical data expected in the second half of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 We record product revenue net of estimated discounts, chargebacks, rebates, product returns, and other gross-to-net revenue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net</w:t>
      </w:r>
    </w:p>
    <w:p>
      <w:pPr>
        <w:spacing w:after="0" w:line="229"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the Incyte License and Collaboration Agreement with Incyte covering the worldwide development and commercialization of axatilimab. In August 2024, the FDA approved Niktimvo for the treatment of cGVHD after failure of at least two prior lines of systemic therapy in adult and pediatric patients weighing at least 40 kg (88.2 lbs).</w:t>
      </w:r>
    </w:p>
    <w:p>
      <w:pPr>
        <w:spacing w:after="0" w:line="6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and therefore we will recognize our 50% share of any profits or losses in the amount of net product sales less cost of goods sold and shared commercial and other expenses, in the period in which the underlying sales and costs are recognized. Our share of net profits in connection with commercialization of Niktimvo will be presented as “Collaboration revenue, net” and our share of net losses will be presented as “Collaboration loss, net” within operating expenses. Collaboration revenue or expense is made up of our share of the 50% profit with Incyte. We record collaboration revenue net of commercial expenses, including any royalties owed on license agreements. We will continue to recognize the costs associated with ongoing development services in the R&amp;D operating expense line, including any cost-sharing components with Incyte.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cost of product sales includes the cost of goods sold for Revuforj and license agreement royalties and sales-based milestones associated with its sales in the United States. Until we received regulatory approval for Revuforj in the United States in November 2024, we recorded expenses incurred for the manufacturing of pre-launch inventory that would support a U.S. launch as research and development expense. Accordingly, the cost of goods sold for a Revuforj may not include the full cost of manufacturing until the initial pre-launch, and previously expensed, inventory is depleted.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products and product candidates and include:</w:t>
      </w:r>
    </w:p>
    <w:p>
      <w:pPr>
        <w:spacing w:after="0" w:line="54" w:lineRule="exact"/>
        <w:rPr>
          <w:sz w:val="20"/>
          <w:szCs w:val="20"/>
          <w:color w:val="auto"/>
        </w:rPr>
      </w:pPr>
    </w:p>
    <w:p>
      <w:pPr>
        <w:ind w:left="1020" w:righ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or CROs,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products and product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products and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The successful development of our products and additional product candidates is highly uncertain. At this time, we cannot reasonably estimate the nature, timing or costs of the efforts that will be necessary to complete the remainder of the development of our products and additional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benefits, non-cash stock-based compensation and travel expenses, for our employees in executive, finance, human resources,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Royalty interest expense consists of the interest recorded related to the Royalty Pharma Purchase and Sale Agreement under the effective interest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Interest Expense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Convertible note interest expense consists of the interest recorded related to the convertible note liability under the effective interest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expense related to the interest recognized for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income, net consists of the revaluation of foreign currency related to trade payables.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please read Note 3 - Summary of Significant Accounting Policies to our unaudited consolidated financial statements included in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164,366</w:t>
            </w: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83,717</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revenue, net</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103,624</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117,326</w:t>
            </w:r>
          </w:p>
        </w:tc>
        <w:tc>
          <w:tcPr>
            <w:tcW w:w="100" w:type="dxa"/>
            <w:vAlign w:val="bottom"/>
          </w:tcPr>
          <w:p>
            <w:pPr>
              <w:spacing w:after="0"/>
              <w:rPr>
                <w:sz w:val="18"/>
                <w:szCs w:val="18"/>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180,143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(6,910)</w:t>
            </w:r>
          </w:p>
        </w:tc>
      </w:tr>
      <w:tr>
        <w:trPr>
          <w:trHeight w:val="210"/>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(41,895)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(57,426)</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(116,092)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(210,536)</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(94,444)</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interest expense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(8,283)</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(24,186)</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(11,591)</w:t>
            </w: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 interest expense</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(5,502)</w:t>
            </w: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(49,433)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(11,282)</w:t>
            </w: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(141,469)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(217,408)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(75,939)</w:t>
            </w: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-2133600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-2133600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-2133600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-2133600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-2133600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-1443990</wp:posOffset>
            </wp:positionV>
            <wp:extent cx="10223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-1443990</wp:posOffset>
            </wp:positionV>
            <wp:extent cx="10287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-1443990</wp:posOffset>
            </wp:positionV>
            <wp:extent cx="175895"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5895" cy="17970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-1443990</wp:posOffset>
            </wp:positionV>
            <wp:extent cx="9398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-1443990</wp:posOffset>
            </wp:positionV>
            <wp:extent cx="9398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-1443990</wp:posOffset>
            </wp:positionV>
            <wp:extent cx="9398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 November 2024, we began to generate product revenue from sales of Revuforj in the United States. Product revenue, net, from sales of Revuforj for the three and nine months ended September 30, 2026, was $60.7 million and $164.4 million, respectively. The increase in product revenue from the comparable prior period end was due to increased sales volume as a result of increased brand awareness.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5" w:name="page26"/>
    <w:bookmarkEnd w:id="25"/>
    <w:p>
      <w:pPr>
        <w:ind w:firstLine="749"/>
        <w:spacing w:after="0" w:line="266" w:lineRule="auto"/>
        <w:rPr>
          <w:sz w:val="20"/>
          <w:szCs w:val="20"/>
          <w:color w:val="auto"/>
        </w:rPr>
      </w:pPr>
      <w:r>
        <w:rPr>
          <w:rFonts w:ascii="Times New Roman" w:cs="Times New Roman" w:eastAsia="Times New Roman" w:hAnsi="Times New Roman"/>
          <w:sz w:val="18"/>
          <w:szCs w:val="18"/>
          <w:color w:val="auto"/>
        </w:rPr>
        <w:t>Collaboration revenue, net, representing our share of net profits in connection with commercialization of Niktimvo, for the three and nine months ended September 30, 2026, was $22.6 million and $56.6 million, respectively. The increase in collaboration revenue from the comparable prior period end was due to increased sales volume as a result of increased brand awareness.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Our cost of product sales increased by $11.9 million and $15.6 million from the comparable prior year periods primarily due to a one time sales-based milestone payment of $10.0 million to AbbVie as well as increased product sales of Revuforj. Included in cost of product sales are royalties owed to AbbVie on Revuforj sales as part of the Vitae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and nine months ended September 30, 2026 and 2025: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40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Revumenib-related costs</w:t>
            </w: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95,950</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Axatilimab-related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(12,425)</w:t>
            </w: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194,362</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-153670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-153670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-153670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-153670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our total research and development expenses increased by $11.2 million and $14.2 million from the comparable prior year periods, respectively. The changes were primarily due to:</w:t>
      </w:r>
    </w:p>
    <w:p>
      <w:pPr>
        <w:spacing w:after="0" w:line="270" w:lineRule="exact"/>
        <w:rPr>
          <w:sz w:val="20"/>
          <w:szCs w:val="20"/>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Revumenib: An increase in the three and nine months ended September 30, 2026 from the comparable prior year period, due to higher costs for frontline trials evaluating revumenib in combination with standard-of-care agents in the treatment of AML;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Axatilimab: A decrease in the three months ended September 30, 2026 from the comparable prior year period, due to timing of trials and a decrease in the nine months ended September 30, 2026 from the comparable prior year period, due to timing of trials and a non-recurring $10.0 million development milestone expense recognized in the first quarter of 2025;</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research and development programs for the three and nine months ended September 30, 2026 from the comparable prior year period, due to timing of research and development activities;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cost and other expenses for the three and nine months ended September 30, 2026 from the comparable prior year period, due to lower headcount;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from the comparable prior year period, driven by a higher stock price.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40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c>
          <w:tcPr>
            <w:tcW w:w="140" w:type="dxa"/>
            <w:vAlign w:val="bottom"/>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(4,503)</w:t>
            </w: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r>
      <w:tr>
        <w:trPr>
          <w:trHeight w:val="209"/>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44,917</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our total selling, general and administrative expenses decreased by $1.2 million and $6.9 million, respectively, from the comparable prior year periods. The changes were primarily due to;</w:t>
      </w:r>
    </w:p>
    <w:p>
      <w:pPr>
        <w:spacing w:after="0" w:line="54" w:lineRule="exact"/>
        <w:rPr>
          <w:sz w:val="20"/>
          <w:szCs w:val="20"/>
          <w:color w:val="auto"/>
        </w:rPr>
      </w:pPr>
    </w:p>
    <w:p>
      <w:pPr>
        <w:ind w:left="1020" w:right="6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commercial-related expenses due to launch costs incurred in the 2025 periods for Revuforj and Niktimvo that were not incurred in 2026;</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selling, general and administrative expenses from the comparable prior year period due to a non-recurring bad debt write-off in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expenses from the comparable, nine month prior year period due to a decrease in overall headcount;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from the comparable prior year period driven by a higher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royalty interest expense increased from the comparable prior year period due to the interest expense recognized related to the Royalty Pharma Purchase and Sale Agreement signed in November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Interest Expense</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convertible note interest expense increased from the comparable prior year period due to the interest expense recognized as a result of the sale and issuance of the convertible notes in June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interest income increased from the comparable prior year period. For the nine months ended September 30, 2026, interest income decreased from the comparable prior year period. The increase for the three months ended September 30, 2026 and the decrease of interest income for the nine months ended September 30, 2026 was primarily due to the average balance of cash equivalents and short and long-term investments and the fluctuation of interest rates during the comparable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total other expense, net decreased from the comparable prior year period primarily due to the fluctuation in foreign currency losses on short- and long-term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period set forth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(107,871)</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(253,492)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(154,995)</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263,877</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cash, cash equivalents and restricted cash</w:t>
            </w:r>
          </w:p>
        </w:tc>
        <w:tc>
          <w:tcPr>
            <w:tcW w:w="33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(37,275)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from $253.5 million for the nine months ended September 30, 2025 to $107.9 million for the nine months ended September 30, 2026, primarily due to a decrease in operating net loss of $75.9 million, an increase in accretive investments, and a decrease in accounts receivable, inventory and prepaids.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was $155.0 million and was related to $208.9 million from the maturities of available-for-sale securities, partially offset by the purchase of $364.0 million of available-for-sale securities.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2025, was $208.5 million and was related to $341.3 million from the maturities of available-for-sale securities, partially offset by the purchase of $132.7 million of available-for-sale securities.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increased by $256.1 million from the comparable prior year period as a result of cash raised from the sale and issuance of convertible notes in June 2026, and proceeds from exercised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November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purchase and sale agreement will be capped at $822.5 million or 2.35 times the funded amount.</w:t>
      </w:r>
    </w:p>
    <w:p>
      <w:pPr>
        <w:spacing w:after="0" w:line="7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our purchase and sale agreement with Royalty Pharma, see Note 12 - “Royalty Interest Financing Liability” to our consolidated financial statements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June 2026, we issued $250.0 million aggregate principal amount of 2.25% Convertible Senior Notes, or the 2031 Notes, due 2031 in a private placement to institutional accredited investors that were qualified institutional buyers under Rule 144A in reliance on the exemption from registration provided by Section 4(a)(2) of the Securities Act. The 2031 Notes are senior unsecured obligations of ours and bear interest at 2.25% per annum, payable semi-annually in arrears on June 15 and December 15, beginning December 15, 2026. The 2031 Notes mature on June 15, 2031, unless earlier converted, redeemed, or repurchased. The initial conversion rate is 40.3894 shares of common stock per $1,000 principal amount (equivalent to an initial conversion price of approximately $24.76 per share), subject to customary anti-dilution adjustments under certain circumstances in accordance with the terms of the indenture relating to the 2031 Notes. Upon conversion, we will pay or deliver, at our election, cash, shares of our common stock, or a combination of cash and shares of common stock. Before March 15, 2031, the 2031 Notes are convertible only upon the satisfaction of specified conditions; thereafter, the 2031 Notes are convertible at any time until the second scheduled trading day before maturity. We may redeem for cash all or any portion of the 2031 Notes, in whole or in part, on or after June 20, 2029 if the last reported sale price of our common stock exceeds 130% of the conversion price for a specified period at a redemption price equal to 100% of the principal amount of the 2031 Notes to be redeemed, plus accrued and unpaid interest to, but excluding, the redemption date. If we undergo a fundamental change (as defined in the indenture governing the 2031 notes), holders may require us to repurchase their 2031 Notes for cash at a price equal to 100% of the principal amount plus accrued and unpaid interest to, but excluding, the fundamental change repurchase date. Initially, a maximum of 13,631,400 shares of common stock may be issued upon conversion of the 2031 Notes based on the initial maximum conversion rate of 54.5256 shares of common stock per $1,000 principal amount of 2031 Notes, which is subject to customary anti-dilution adjustment provisions. The 2031 Notes are classified as a long-term liability and are presented net of unamortized debt issuance costs, which are amortized to interest expense over the term of the 2031 Notes using the effective interest method.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the combination of our available cash, cash equivalents, short- and long-term investments, as well as our expected product revenues from sales of Revuforj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28" w:name="page29"/>
    <w:bookmarkEnd w:id="28"/>
    <w:p>
      <w:pPr>
        <w:ind w:right="540"/>
        <w:spacing w:after="0" w:line="282" w:lineRule="auto"/>
        <w:rPr>
          <w:sz w:val="20"/>
          <w:szCs w:val="20"/>
          <w:color w:val="auto"/>
        </w:rPr>
      </w:pPr>
      <w:r>
        <w:rPr>
          <w:rFonts w:ascii="Times New Roman" w:cs="Times New Roman" w:eastAsia="Times New Roman" w:hAnsi="Times New Roman"/>
          <w:sz w:val="18"/>
          <w:szCs w:val="18"/>
          <w:color w:val="auto"/>
        </w:rPr>
        <w:t>overhead costs. We have based our estimates on assumptions that may prove to be incorrect, and we could use our capital resources sooner than we currently expect.</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product candidates in clinical trials is costly, and the timing, progress and outcomes in these trials is uncertain. We cannot estimate the actual amounts necessary to successfully complete the development and commercialization of our product candidates or whether, or when, we may achieve profitability.</w:t>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additional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indenture governing the 2031 Notes;</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approved products as well as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and expanding sales, marketing and distribution capabilities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333"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support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6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With respect to our outstanding convertible notes, cash interest payments are payable on a semi-annual basis in arrears, which will require total funding of $5.7 million annually.</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material contractual obligations and commitments as of September 30, 2026, primarily relate to our maturities of operating leases for office space and equipment and capital leases for office equipment. As of September 30, 2026, we have $0.7 million payable within 12 months.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29" w:name="page30"/>
    <w:bookmarkEnd w:id="29"/>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September 30, 2026, we had an accumulated deficit of $1.6 billion. We anticipate that we will likely continue to incur significant losses for at least the next couple years.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nine months ended September 30, 2026, we did not sell any shares of common stock under the 2023 ATM Program. As of September 30, 2026, we had $157.9 million available under the 2023 ATM Program.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Unfavorable interest rates and geo-political unrest could result in further economic uncertainty and volatility in the capital markets in the near term and, as a result, could negatively affect our operations and could make it difficult for us to obtain traditional financing on acceptable terms, if at all.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wars and terrorism, worsening macroeconomic conditions and employee availability and wage increases, which may result in additional stress on our working capital.</w:t>
      </w:r>
    </w:p>
    <w:p>
      <w:pPr>
        <w:spacing w:after="0" w:line="81"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See the section titled “Risk Factors” located elsewhere in this report for additional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2026, we had cash, cash equivalents and short- and long-term investments of $551.1 million consisting of $135.9 million of cash, overnight investments and interest-bearing money market funds, and short- and long-term investments of $415.1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92" w:lineRule="exact"/>
        <w:rPr>
          <w:sz w:val="20"/>
          <w:szCs w:val="20"/>
          <w:color w:val="auto"/>
        </w:rPr>
      </w:pPr>
    </w:p>
    <w:p>
      <w:pPr>
        <w:jc w:val="center"/>
        <w:ind w:right="24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September 30, 2026. Based upon that evaluation, our principal executive officer and principal financial officer concluded that, as of the end of the period covered by this report, our disclosure controls and procedures are effective in ensuring that:</w:t>
      </w:r>
    </w:p>
    <w:p>
      <w:pPr>
        <w:spacing w:after="0" w:line="75" w:lineRule="exact"/>
        <w:rPr>
          <w:sz w:val="20"/>
          <w:szCs w:val="20"/>
          <w:color w:val="auto"/>
        </w:rPr>
      </w:pPr>
    </w:p>
    <w:p>
      <w:pPr>
        <w:ind w:left="900" w:right="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September 30, 2026, that has materially affected, or is reasonably likely to materially affect, our internal control over financial reporting.</w:t>
      </w: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2026,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elsewhere in this report, you should carefully consider the risks and uncertainties described in “Part I, Item 1A—Risk Factors” of our Annual Report on Form 10-K for the year ended December 31, 2025, or 2025 Form 10-K, filed with the Securities and Exchange Commission, or SEC, on February 26, 2026, and in “Part II, Item 1A—Risk Factors” of our Quarterly Report on Form 10-Q for the quarter ended June 30, 2026, or Q2 2026 Form 10-Q, filed with the SEC on August 4, 2026,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2025 Form 10-K and Q2 2026 Form 10-Q is qualified by the information that is described in this Quarterly Report on Form 10-Q. The risks described in our 2025 Form 10-K and Q2 2026 Form 10-Q are not our only risks. Additional risks and uncertainties not currently known to us or that we currently deem to be immaterial also may materially adversely affect our business, financial condition or future results. Other than the risk factors listed below, there have been no material changes from the risk factors previously disclosed in our 2025 Form 10-K and Q2 2026 Form 10-Q.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and officers (as defined in Rule 16a-1 (f) under the Exchange Act) adopted or terminated a “Rule 10b5-1 trading arrangement” or a “non-Rule 10b5-1 trading arrangement,” as defined in Regulation S-K Item 408 for the purchase or sale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gridSpan w:val="10"/>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Exhibit 3.1 to the Company’s Current Report on Form 8-K (File No. 001-37708), as filed with the SEC on May 18, 2023).</w:t>
              </w:r>
            </w:hyperlink>
          </w:p>
        </w:tc>
        <w:tc>
          <w:tcPr>
            <w:tcW w:w="20" w:type="dxa"/>
            <w:vAlign w:val="bottom"/>
            <w:tcBorders>
              <w:bottom w:val="single" w:sz="8" w:color="0000EE"/>
            </w:tcBorders>
          </w:tcPr>
          <w:p>
            <w:pPr>
              <w:spacing w:after="0"/>
              <w:rPr>
                <w:sz w:val="17"/>
                <w:szCs w:val="17"/>
                <w:color w:val="auto"/>
              </w:rPr>
            </w:pPr>
          </w:p>
        </w:tc>
        <w:tc>
          <w:tcPr>
            <w:tcW w:w="1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Amended and Restated Bylaws of the Company (incorporated herein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8-K (File No. 001-37708), as filed with the SEC on December 19,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 w:type="dxa"/>
            <w:vAlign w:val="bottom"/>
            <w:tcBorders>
              <w:bottom w:val="single" w:sz="8" w:color="0000EE"/>
            </w:tcBorders>
          </w:tcPr>
          <w:p>
            <w:pPr>
              <w:spacing w:after="0"/>
              <w:rPr>
                <w:sz w:val="17"/>
                <w:szCs w:val="17"/>
                <w:color w:val="auto"/>
              </w:rPr>
            </w:pPr>
          </w:p>
        </w:tc>
        <w:tc>
          <w:tcPr>
            <w:tcW w:w="7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right="120" w:firstLine="8"/>
        <w:spacing w:after="0" w:line="257" w:lineRule="auto"/>
        <w:tabs>
          <w:tab w:leader="none" w:pos="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Keith A. Goldan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Michael A. Metzger</w:t>
            </w:r>
          </w:p>
        </w:tc>
      </w:tr>
      <w:tr>
        <w:trPr>
          <w:trHeight w:val="191"/>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35"/>
        </w:trPr>
        <w:tc>
          <w:tcPr>
            <w:tcW w:w="4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Keith A. Goldan</w:t>
            </w:r>
          </w:p>
        </w:tc>
      </w:tr>
      <w:tr>
        <w:trPr>
          <w:trHeight w:val="191"/>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478"/>
        </w:trPr>
        <w:tc>
          <w:tcPr>
            <w:tcW w:w="4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6" w:name="page37"/>
    <w:bookmarkEnd w:id="3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September 30, 2026,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191"/>
        </w:trPr>
        <w:tc>
          <w:tcPr>
            <w:tcW w:w="4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1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191"/>
        </w:trPr>
        <w:tc>
          <w:tcPr>
            <w:tcW w:w="4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Syndax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46" Type="http://schemas.openxmlformats.org/officeDocument/2006/relationships/hyperlink" Target="https://www.sec.gov/Archives/edgar/data/1395937/000119312516496764/d119516dex31.htm" TargetMode="External"/><Relationship Id="rId247" Type="http://schemas.openxmlformats.org/officeDocument/2006/relationships/hyperlink" Target="https://www.sec.gov/Archives/edgar/data/1395937/000095017023022802/sndx-ex3_1.htm" TargetMode="External"/><Relationship Id="rId248" Type="http://schemas.openxmlformats.org/officeDocument/2006/relationships/hyperlink" Target="https://www.sec.gov/Archives/edgar/data/1395937/000119312525326961/snd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2026-11-02T15:13:19Z</dcterms:created>
  <dcterms:modified xsi:type="dcterms:W3CDTF">2026-11-02T15:13:19Z</dcterms:modified>
</cp:coreProperties>
</file>