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September 15, 2021</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SYNDAX PHARMACEUTICALS,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080"/>
          </w:cols>
          <w:pgMar w:left="320" w:top="341" w:right="499" w:bottom="1440" w:gutter="0" w:footer="0" w:header="0"/>
        </w:sectPr>
      </w:pPr>
    </w:p>
    <w:p>
      <w:pPr>
        <w:spacing w:after="0" w:line="232"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001-37708</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32-0162505</w:t>
      </w:r>
    </w:p>
    <w:p>
      <w:pPr>
        <w:spacing w:after="0" w:line="31" w:lineRule="exact"/>
        <w:rPr>
          <w:sz w:val="24"/>
          <w:szCs w:val="24"/>
          <w:color w:val="auto"/>
        </w:rPr>
      </w:pPr>
    </w:p>
    <w:p>
      <w:pPr>
        <w:sectPr>
          <w:pgSz w:w="11900" w:h="16838" w:orient="portrait"/>
          <w:cols w:equalWidth="0" w:num="3">
            <w:col w:w="4520" w:space="720"/>
            <w:col w:w="2980" w:space="720"/>
            <w:col w:w="2140"/>
          </w:cols>
          <w:pgMar w:left="320" w:top="341" w:right="499" w:bottom="1440" w:gutter="0" w:footer="0" w:header="0"/>
          <w:type w:val="continuous"/>
        </w:sectPr>
      </w:pPr>
    </w:p>
    <w:p>
      <w:pPr>
        <w:spacing w:after="0" w:line="12"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(state or other jurisdiction</w:t>
      </w: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60" w:space="720"/>
            <w:col w:w="2280"/>
          </w:cols>
          <w:pgMar w:left="320" w:top="341" w:right="499" w:bottom="1440" w:gutter="0" w:footer="0" w:header="0"/>
          <w:type w:val="continuous"/>
        </w:sectPr>
      </w:pPr>
    </w:p>
    <w:p>
      <w:pPr>
        <w:spacing w:after="0" w:line="32"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Building D, Floor 3</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35 Gatehouse Drive</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Waltham, 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02451</w:t>
      </w:r>
    </w:p>
    <w:p>
      <w:pPr>
        <w:spacing w:after="0" w:line="50" w:lineRule="exact"/>
        <w:rPr>
          <w:sz w:val="24"/>
          <w:szCs w:val="24"/>
          <w:color w:val="auto"/>
        </w:rPr>
      </w:pPr>
    </w:p>
    <w:p>
      <w:pPr>
        <w:sectPr>
          <w:pgSz w:w="11900" w:h="16838" w:orient="portrait"/>
          <w:cols w:equalWidth="0" w:num="2">
            <w:col w:w="7480" w:space="720"/>
            <w:col w:w="2880"/>
          </w:cols>
          <w:pgMar w:left="320" w:top="341" w:right="49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80" w:space="720"/>
            <w:col w:w="2980"/>
          </w:cols>
          <w:pgMar w:left="320" w:top="34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(781) 419-1400</w:t>
      </w: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19" w:lineRule="exact"/>
        <w:rPr>
          <w:sz w:val="24"/>
          <w:szCs w:val="24"/>
          <w:color w:val="auto"/>
        </w:rPr>
      </w:pPr>
    </w:p>
    <w:tbl>
      <w:tblPr>
        <w:tblLayout w:type="fixed"/>
        <w:tblInd w:w="590" w:type="dxa"/>
        <w:tblCellMar>
          <w:top w:w="0" w:type="dxa"/>
          <w:left w:w="0" w:type="dxa"/>
          <w:bottom w:w="0" w:type="dxa"/>
          <w:right w:w="0" w:type="dxa"/>
        </w:tblCellMar>
      </w:tblPr>
      <w:tr>
        <w:trPr>
          <w:trHeight w:val="227"/>
        </w:trPr>
        <w:tc>
          <w:tcPr>
            <w:tcW w:w="3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type w:val="continuous"/>
        </w:sectPr>
      </w:pPr>
    </w:p>
    <w:bookmarkStart w:id="1" w:name="page2"/>
    <w:bookmarkEnd w:id="1"/>
    <w:p>
      <w:pPr>
        <w:ind w:left="1140" w:right="16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Compensation Arrangements of Certain Officers.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15, 2021,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Syndax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unanimously voted to increase the size of the Board to nine members and to elect Martin H. Huber, M.D. to the Board, effectively immediately. The Board designated Dr. Huber as a Class II member to serve until the 2024 annual meeting of the Company’s stockholders, or until his successor has been duly elected and qualified, or until his earlier death, resignation or removal.</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were no arrangements or understandings between Dr. Huber and any other persons pursuant to which he was selected as a director, and there are no related person transactions within the meaning of Item 404(a) of Regulation S-K promulgated by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between Dr. Huber and the Company required to be disclosed herein.</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Company’s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Dr. Huber will receive annual cash compensation in the amount $40,000 for his Board service. All amounts will be paid in quarterly installments. The Company will also reimburse Dr. Huber for his travel expenses incurred in connection with his attendance at Board meetings. On September 15, 2021, the Board also granted Dr. Huber an initial one-time option to purchase 35,000 shares of the Company’s common stock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Subject to Dr. Huber’s continued service on the Board, the Option will vest as follows: 1/36 of the shares subject to the Option will vest monthly over a three-year period. In accordance with the Policy, as may be amended from time to time, Dr. Huber will also be eligible to receive an annual option award to purchase shares of the Company’s common stock, subject to Dr. Huber’s continued service on the Board.</w:t>
      </w:r>
    </w:p>
    <w:p>
      <w:pPr>
        <w:spacing w:after="0" w:line="19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his appointment to the Board, Dr. Huber entered into the Company’s standard form of Indemnification Agreement, a copy of which was filed as Exhibit 10.21 to the Registration Statement on Form S-1 (File No. 333-208861) filed with the SEC on January 4, 2016. The Company issued a press release announcing the appointment of Dr. Huber, a copy of which is attached hereto as Exhibit 99.1 and is incorporated herein by reference.</w:t>
      </w:r>
    </w:p>
    <w:p>
      <w:pPr>
        <w:spacing w:after="0" w:line="1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40"/>
          </w:cols>
          <w:pgMar w:left="320" w:top="337" w:right="339" w:bottom="1440" w:gutter="0" w:footer="0" w:header="0"/>
        </w:sectPr>
      </w:pPr>
    </w:p>
    <w:p>
      <w:pPr>
        <w:spacing w:after="0" w:line="244" w:lineRule="exact"/>
        <w:rPr>
          <w:sz w:val="20"/>
          <w:szCs w:val="20"/>
          <w:color w:val="auto"/>
        </w:rPr>
      </w:pPr>
    </w:p>
    <w:p>
      <w:pPr>
        <w:jc w:val="center"/>
        <w:ind w:right="29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29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882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482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694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000" w:space="720"/>
            <w:col w:w="5520"/>
          </w:cols>
          <w:pgMar w:left="320" w:top="337" w:right="339" w:bottom="1440" w:gutter="0" w:footer="0" w:header="0"/>
          <w:type w:val="continuous"/>
        </w:sectPr>
      </w:pPr>
    </w:p>
    <w:p>
      <w:pPr>
        <w:spacing w:after="0" w:line="63" w:lineRule="exact"/>
        <w:rPr>
          <w:sz w:val="20"/>
          <w:szCs w:val="20"/>
          <w:color w:val="auto"/>
        </w:rPr>
      </w:pPr>
    </w:p>
    <w:p>
      <w:pPr>
        <w:ind w:left="780"/>
        <w:spacing w:after="0"/>
        <w:tabs>
          <w:tab w:leader="none" w:pos="15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15, 2021.</w:t>
        </w:r>
      </w:hyperlink>
    </w:p>
    <w:p>
      <w:pPr>
        <w:spacing w:after="0" w:line="225"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2021</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4879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87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Syndax Appoints </w:t>
      </w:r>
      <w:r>
        <w:rPr>
          <w:rFonts w:ascii="Arial" w:cs="Arial" w:eastAsia="Arial" w:hAnsi="Arial"/>
          <w:sz w:val="19"/>
          <w:szCs w:val="19"/>
          <w:b w:val="1"/>
          <w:bCs w:val="1"/>
          <w:color w:val="auto"/>
        </w:rPr>
        <w:t>Martin H. Huber, M.D,</w:t>
      </w:r>
      <w:r>
        <w:rPr>
          <w:rFonts w:ascii="Arial" w:cs="Arial" w:eastAsia="Arial" w:hAnsi="Arial"/>
          <w:sz w:val="22"/>
          <w:szCs w:val="22"/>
          <w:b w:val="1"/>
          <w:bCs w:val="1"/>
          <w:color w:val="auto"/>
        </w:rPr>
        <w:t xml:space="preserve"> to its Board of Directors</w:t>
      </w:r>
    </w:p>
    <w:p>
      <w:pPr>
        <w:spacing w:after="0" w:line="19"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WALTHAM, Mass., September 15, 2021 (PRNEWSWIRE) -- Syndax Pharmaceuticals, Inc. ("Syndax," the "Company" or "we") (Nasdaq: SNDX), a clinical stage biopharmaceutical company developing an innovative pipeline of cancer therapies, today announced the expansion of its Board of Directors to nine members with the appointment of Martin H. Huber, M.D., effective today. Dr. Huber has over 20 years of academic, biotechnology, and pharmaceutical drug development experience, currently serving as the President of R&amp;D and Chief Medical Officer of Xilio Therapeutics, Inc.</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“It is my pleasure to welcome industry veteran, Dr. Marty Huber, to the Syndax team,” said Dennis Podlesak, Chair of the Board at Syndax. “A deeply experienced leader with a breadth of drug development expertise spanning preclinical stage through commercialization, his contributions and guidance will be invaluable as Syndax continues its effort to advance its innovative pipeline of cancer therapies to help patients in need.”</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 am thrilled to join the experienced and dedicated Board at Syndax, and look forward to helping the team realize a future in which people with cancer live longer and better than ever before,” said Dr. Huber. “I strongly believe in the potential of Syndax’s promising pipeline to address a broad range of currently underserved patients living with cancer.”</w:t>
      </w:r>
    </w:p>
    <w:p>
      <w:pPr>
        <w:spacing w:after="0" w:line="13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Prior to joining Xilio in April 2020, Dr. Huber served as Senior Vice President, Chief Medical Officer at TESARO, Inc. from September 2015 until its January 2019 acquisition by GlaxoSmithKline plc, and once acquired, as Senior Vice President, Clinical, until April 2020. Prior to TESARO, Dr. Huber served as Vice President, Oncology Clinical Research at Merck Research Laboratories from 2012 to 2015. Prior to Merck, he served in roles of increasing responsibility at Schering-Plough, Hoffmann-La Roche and Rhone-Poulenc Rorer, where he led teams in the areas of oncology clinical development, drug safety and pharmacovigilance. He was previously an Assistant Professor of Oncology at the University of Texas M.D. Anderson Cancer Center. Dr. Huber currently serves on the Board of Directors of Mersana Therapeutics, Inc. Dr. Huber earned his M.D. from Baylor College of Medicine.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Syndax Pharmaceuticals, Inc.</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Syndax Pharmaceuticals is a clinical stage biopharmaceutical company developing an innovative pipeline of cancer therapies. The Company's pipeline includes SNDX-5613, a highly selective inhibitor of the Menin–MLL binding interaction, axatilimab, a monoclonal antibody that blocks the colony stimulating factor 1 (CSF-1) receptor, and entinostat, a class I HDAC inhibitor. For more information, please visit </w:t>
      </w:r>
      <w:r>
        <w:rPr>
          <w:rFonts w:ascii="Arial" w:cs="Arial" w:eastAsia="Arial" w:hAnsi="Arial"/>
          <w:sz w:val="20"/>
          <w:szCs w:val="20"/>
          <w:u w:val="single" w:color="auto"/>
          <w:color w:val="auto"/>
        </w:rPr>
        <w:t>www.syndax.com</w:t>
      </w:r>
      <w:r>
        <w:rPr>
          <w:rFonts w:ascii="Arial" w:cs="Arial" w:eastAsia="Arial" w:hAnsi="Arial"/>
          <w:sz w:val="20"/>
          <w:szCs w:val="20"/>
          <w:color w:val="auto"/>
        </w:rPr>
        <w:t xml:space="preserve"> or follow the Company on </w:t>
      </w:r>
      <w:r>
        <w:rPr>
          <w:rFonts w:ascii="Arial" w:cs="Arial" w:eastAsia="Arial" w:hAnsi="Arial"/>
          <w:sz w:val="20"/>
          <w:szCs w:val="20"/>
          <w:u w:val="single" w:color="auto"/>
          <w:color w:val="auto"/>
        </w:rPr>
        <w:t>Twitter</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LinkedIn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Syndax's Cautionary Note on Forward-Looking Statements</w:t>
      </w:r>
    </w:p>
    <w:p>
      <w:pPr>
        <w:spacing w:after="0" w:line="25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"may," "will," "expect," "plan," "anticipate," "estimate," "intend," "believe" and similar expressions (as well as other words or expressions referencing future events, conditions or circumstances) are intended to identify forward-looking statements. These forward-looking statements are based on Syndax's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but are not limited to, statements about the design, progress, timing, clinical development and scope of clinical trials, plans for initiating future clinical trials, reporting of clinical data for Syndax's product candidates, the association of data with treatment outcomes, and the potential use of our product candidates to treat various cancer indications and fibrotic diseases. Many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the COVID-19 pandemic may disrupt our business and that of the third parties on which we depend, including delaying or otherwise disrupting our clinical trials and preclinical studies, manufacturing and supply chain, or impairing employee productivity, failure of Syndax's collaborators to support or advance collaborations or product candidates and unexpected litigation or other disputes. Other factors that may cause Syndax's actual results to differ from those expressed or implied in the forward-looking statements in this press release are discussed in Syndax's filings with the U.S. Securities and Exchange Commission, including the "Risk Factors" sections contained therein. Except as required by law, Syndax assumes no obligation to update any forward-looking statements contained herein to reflect any change in expectations, even as new information becomes available.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Syndax Contacts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225" w:lineRule="auto"/>
        <w:rPr>
          <w:sz w:val="20"/>
          <w:szCs w:val="20"/>
          <w:color w:val="auto"/>
        </w:rPr>
      </w:pPr>
      <w:r>
        <w:rPr>
          <w:rFonts w:ascii="Arial" w:cs="Arial" w:eastAsia="Arial" w:hAnsi="Arial"/>
          <w:sz w:val="20"/>
          <w:szCs w:val="20"/>
          <w:color w:val="auto"/>
        </w:rPr>
        <w:t>Melissa Forst</w:t>
      </w:r>
    </w:p>
    <w:p>
      <w:pPr>
        <w:spacing w:after="0" w:line="225" w:lineRule="auto"/>
        <w:rPr>
          <w:sz w:val="20"/>
          <w:szCs w:val="20"/>
          <w:color w:val="auto"/>
        </w:rPr>
      </w:pPr>
      <w:r>
        <w:rPr>
          <w:rFonts w:ascii="Arial" w:cs="Arial" w:eastAsia="Arial" w:hAnsi="Arial"/>
          <w:sz w:val="20"/>
          <w:szCs w:val="20"/>
          <w:color w:val="auto"/>
        </w:rPr>
        <w:t>Argot Partners</w:t>
      </w:r>
    </w:p>
    <w:p>
      <w:pPr>
        <w:spacing w:after="0" w:line="226" w:lineRule="auto"/>
        <w:rPr>
          <w:sz w:val="20"/>
          <w:szCs w:val="20"/>
          <w:color w:val="auto"/>
        </w:rPr>
      </w:pPr>
      <w:r>
        <w:rPr>
          <w:rFonts w:ascii="Arial" w:cs="Arial" w:eastAsia="Arial" w:hAnsi="Arial"/>
          <w:sz w:val="20"/>
          <w:szCs w:val="20"/>
          <w:u w:val="single" w:color="auto"/>
          <w:color w:val="auto"/>
        </w:rPr>
        <w:t>melissa@argotpartners.com</w:t>
      </w:r>
    </w:p>
    <w:p>
      <w:pPr>
        <w:spacing w:after="0" w:line="225" w:lineRule="auto"/>
        <w:rPr>
          <w:sz w:val="20"/>
          <w:szCs w:val="20"/>
          <w:color w:val="auto"/>
        </w:rPr>
      </w:pPr>
      <w:r>
        <w:rPr>
          <w:rFonts w:ascii="Arial" w:cs="Arial" w:eastAsia="Arial" w:hAnsi="Arial"/>
          <w:sz w:val="20"/>
          <w:szCs w:val="20"/>
          <w:color w:val="auto"/>
        </w:rPr>
        <w:t>Tel 212.600.1902</w:t>
      </w:r>
    </w:p>
    <w:p>
      <w:pPr>
        <w:spacing w:after="0" w:line="226" w:lineRule="auto"/>
        <w:rPr>
          <w:sz w:val="20"/>
          <w:szCs w:val="20"/>
          <w:color w:val="auto"/>
        </w:rPr>
      </w:pPr>
      <w:r>
        <w:rPr>
          <w:rFonts w:ascii="Arial" w:cs="Arial" w:eastAsia="Arial" w:hAnsi="Arial"/>
          <w:sz w:val="20"/>
          <w:szCs w:val="20"/>
          <w:color w:val="auto"/>
        </w:rPr>
        <w:t>Media Contact</w:t>
      </w:r>
    </w:p>
    <w:p>
      <w:pPr>
        <w:spacing w:after="0" w:line="225" w:lineRule="auto"/>
        <w:rPr>
          <w:sz w:val="20"/>
          <w:szCs w:val="20"/>
          <w:color w:val="auto"/>
        </w:rPr>
      </w:pPr>
      <w:r>
        <w:rPr>
          <w:rFonts w:ascii="Arial" w:cs="Arial" w:eastAsia="Arial" w:hAnsi="Arial"/>
          <w:sz w:val="20"/>
          <w:szCs w:val="20"/>
          <w:color w:val="auto"/>
        </w:rPr>
        <w:t>Ted Held</w:t>
      </w:r>
    </w:p>
    <w:p>
      <w:pPr>
        <w:spacing w:after="0" w:line="225" w:lineRule="auto"/>
        <w:rPr>
          <w:sz w:val="20"/>
          <w:szCs w:val="20"/>
          <w:color w:val="auto"/>
        </w:rPr>
      </w:pPr>
      <w:r>
        <w:rPr>
          <w:rFonts w:ascii="Arial" w:cs="Arial" w:eastAsia="Arial" w:hAnsi="Arial"/>
          <w:sz w:val="20"/>
          <w:szCs w:val="20"/>
          <w:u w:val="single" w:color="auto"/>
          <w:color w:val="auto"/>
        </w:rPr>
        <w:t>ted.held@gcihealth.com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Tel 212.798.9842</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SNDX-G</w:t>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2021-09-15T16:57:00Z</dcterms:created>
  <dcterms:modified xsi:type="dcterms:W3CDTF">2021-09-15T16:57:00Z</dcterms:modified>
</cp:coreProperties>
</file>